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mbria" w:hAnsi="Cambria" w:eastAsia="Cambria"/>
          <w:b/>
          <w:color w:val="19355E"/>
          <w:sz w:val="44"/>
        </w:rPr>
        <w:t>Ficha de diligenciamiento</w:t>
      </w:r>
    </w:p>
    <w:p>
      <w:pPr>
        <w:jc w:val="center"/>
      </w:pPr>
      <w:r>
        <w:rPr>
          <w:rFonts w:ascii="Calibri" w:hAnsi="Calibri"/>
          <w:i/>
          <w:color w:val="127A87"/>
          <w:sz w:val="25"/>
        </w:rPr>
        <w:t>Canvas de oportunidad universitaria para materializar una oportunidad de mejora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E9F7F8"/>
            <w:tcBorders>
              <w:start w:val="single" w:sz="8" w:color="1294A2"/>
              <w:top w:val="single" w:sz="8" w:color="1294A2"/>
              <w:end w:val="single" w:sz="8" w:color="1294A2"/>
              <w:bottom w:val="single" w:sz="8" w:color="1294A2"/>
            </w:tcBorders>
          </w:tcPr>
          <w:p>
            <w:r>
              <w:rPr>
                <w:b/>
                <w:color w:val="19355E"/>
                <w:sz w:val="22"/>
              </w:rPr>
              <w:t>Uso de la ficha</w:t>
            </w:r>
          </w:p>
          <w:p>
            <w:pPr>
              <w:jc w:val="center"/>
            </w:pPr>
            <w:r>
              <w:rPr>
                <w:color w:val="127A87"/>
                <w:sz w:val="22"/>
              </w:rPr>
              <w:t>Primero tipifique la fricción, luego nombre el caso, descríbalo con evidencia y conviértalo en una oportunidad viable.</w:t>
            </w:r>
          </w:p>
          <w:p>
            <w:pPr>
              <w:jc w:val="center"/>
            </w:pPr>
            <w:r>
              <w:rPr>
                <w:color w:val="6E767C"/>
                <w:sz w:val="18"/>
              </w:rPr>
              <w:t>Esta versión se diligencia para un solo caso.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Ejemplo diligenciado de referencia — presentado en gris sutil.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Facultad / unidad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Facultad de Ciencias de la Educación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Programa o dependencia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Escritura Académica I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Área / proceso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Retroalimentación formativa de borradores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Responsable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Docente líder del curso</w:t>
            </w:r>
          </w:p>
        </w:tc>
      </w:tr>
      <w:tr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Fecha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28 de abril de 2026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Usuario o actor principal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Estudiantes de primer semestre y docente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Objetivo del proceso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Entregar observaciones útiles antes de la versión final</w:t>
            </w:r>
          </w:p>
        </w:tc>
        <w:tc>
          <w:tcPr>
            <w:tcW w:type="dxa" w:w="2556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pPr>
              <w:spacing w:after="40"/>
            </w:pPr>
            <w:r>
              <w:rPr>
                <w:b/>
                <w:color w:val="19355E"/>
                <w:sz w:val="19"/>
              </w:rPr>
              <w:t>Caso o situación priorizada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Devolución tardía en borradores iniciales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9355E"/>
            <w:tcBorders>
              <w:start w:val="single" w:sz="0" w:color="19355E"/>
              <w:top w:val="single" w:sz="0" w:color="19355E"/>
              <w:end w:val="single" w:sz="0" w:color="19355E"/>
              <w:bottom w:val="single" w:sz="0" w:color="19355E"/>
            </w:tcBorders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23"/>
              </w:rPr>
              <w:t>1. Tipificación de la fricción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Tipo de fricción</w:t>
            </w:r>
          </w:p>
          <w:p>
            <w:r>
              <w:rPr>
                <w:i/>
              </w:rPr>
              <w:t>Seleccione la categoría principal que mejor ubica el caso.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592"/>
              <w:gridCol w:w="2592"/>
            </w:tblGrid>
            <w:tr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☐ Aprendizaje</w:t>
                  </w:r>
                </w:p>
              </w:tc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☐ Enseñanza</w:t>
                  </w:r>
                </w:p>
              </w:tc>
            </w:tr>
            <w:tr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☐ Metodología</w:t>
                  </w:r>
                </w:p>
              </w:tc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☐ Evaluación</w:t>
                  </w:r>
                </w:p>
              </w:tc>
            </w:tr>
            <w:tr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☐ Acompañamiento</w:t>
                  </w:r>
                </w:p>
              </w:tc>
              <w:tc>
                <w:tcPr>
                  <w:tcW w:type="dxa" w:w="2376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9"/>
                    </w:rPr>
                    <w:t>☒ Retroalimentación</w:t>
                  </w:r>
                </w:p>
              </w:tc>
            </w:tr>
          </w:tbl>
          <w:p/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Fricción seleccionada</w:t>
            </w:r>
          </w:p>
          <w:p>
            <w:r>
              <w:rPr>
                <w:i/>
              </w:rPr>
              <w:t>Asigne un nombre breve y específico al caso a intervenir.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Retroalimentación tardía y poco accionable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en los primeros borradores de ensayo.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La devolución llega tarde y no prioriza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qué corregir primero.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FFFFFF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r>
              <w:rPr>
                <w:b/>
                <w:color w:val="19355E"/>
                <w:sz w:val="22"/>
              </w:rPr>
              <w:t>2. Descripción de la fricción</w:t>
            </w:r>
          </w:p>
          <w:p>
            <w:r>
              <w:rPr>
                <w:i/>
                <w:color w:val="127A87"/>
                <w:sz w:val="19"/>
              </w:rPr>
              <w:t>Describa qué ocurre, a quién afecta, cuándo aparece y por qué hoy merece atención.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En un curso con grupos amplios, la mayoría de borradores se entrega en la misma semana,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por lo que la retroalimentación suele llegar cuando el estudiante ya avanzó sin corregir.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Los comentarios se redactan de forma manual, son extensos y a veces demasiado generales.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Esto afecta la mejora temprana del texto, aumenta consultas repetidas y debilita el valor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  <w:t>formativo de la evaluación porque la observación no se traduce en acciones concretas.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8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Cambria" w:hAnsi="Cambria" w:eastAsia="Cambria"/>
          <w:b/>
          <w:color w:val="19355E"/>
          <w:sz w:val="44"/>
        </w:rPr>
        <w:t>Análisis del caso</w:t>
      </w:r>
    </w:p>
    <w:p>
      <w:pPr>
        <w:jc w:val="center"/>
      </w:pPr>
      <w:r>
        <w:rPr>
          <w:rFonts w:ascii="Calibri" w:hAnsi="Calibri"/>
          <w:i/>
          <w:color w:val="127A87"/>
          <w:sz w:val="25"/>
        </w:rPr>
        <w:t>Evidencia, causas, impacto y criterio de selección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  <w:sz w:val="21"/>
              </w:rPr>
              <w:t>3. Evidencias y señales observables</w:t>
            </w:r>
          </w:p>
          <w:p>
            <w:r>
              <w:rPr>
                <w:i/>
                <w:color w:val="127A87"/>
                <w:sz w:val="19"/>
              </w:rPr>
              <w:t>Consigne hechos verificables: demoras, errores, quejas, retrabajo, saturación, vacíos de seguimiento u otros indicios.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devolución promedio ocurre entre 8 y 12 días después de la entrega.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En la versión final persisten errores ya presentes en el borrador.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Los estudiantes reportan no saber cuál corrección atender primero.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El docente repite observaciones similares en múltiples trabajos.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  <w:sz w:val="21"/>
              </w:rPr>
              <w:t>4. Causas o condiciones que la originan</w:t>
            </w:r>
          </w:p>
          <w:p>
            <w:r>
              <w:rPr>
                <w:i/>
                <w:color w:val="127A87"/>
                <w:sz w:val="19"/>
              </w:rPr>
              <w:t>Explique qué factores del proceso, del método o de la interacción producen o agravan la fricción.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Las entregas se concentran en una sola fecha y saturan la revisión.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existe una rúbrica breve con criterios priorizados para el primer borrador.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Los comentarios dependen de redacción manual y no de un banco reutilizable.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hay seguimiento explícito entre observación dada y mejora esperada.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  <w:sz w:val="21"/>
              </w:rPr>
              <w:t>5. Impacto actual de la fricción</w:t>
            </w:r>
          </w:p>
          <w:p>
            <w:r>
              <w:rPr>
                <w:i/>
                <w:color w:val="127A87"/>
                <w:sz w:val="19"/>
              </w:rPr>
              <w:t>Precise consecuencias en tiempo, calidad, experiencia, coordinación, aprendizaje o uso de recursos.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Se retrasa la mejora de la escritura antes de la entrega final.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Aumenta la carga docente por correcciones reiteradas y consultas posteriores.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experiencia estudiantil percibe la devolución como tardía o difusa.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Disminuye el efecto pedagógico de la evaluación formativa.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  <w:sz w:val="21"/>
              </w:rPr>
              <w:t>6. Criterio de prioridad</w:t>
            </w:r>
          </w:p>
          <w:p>
            <w:r>
              <w:rPr>
                <w:i/>
                <w:color w:val="127A87"/>
                <w:sz w:val="19"/>
              </w:rPr>
              <w:t>Explique por qué este caso fue escogido frente a otras fricciones posibles.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Es una fricción recurrente, visible y con efecto directo en aprendizaje.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Puede pilotearse sin rediseñar toda la asignatura ni comprar plataforma nueva.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mejora sería medible en tiempos de respuesta y calidad de reescritura.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Combina alto impacto con un esfuerzo inicial acotado.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Cambria" w:hAnsi="Cambria" w:eastAsia="Cambria"/>
          <w:b/>
          <w:color w:val="19355E"/>
          <w:sz w:val="44"/>
        </w:rPr>
        <w:t>Construcción de la oportunidad</w:t>
      </w:r>
    </w:p>
    <w:p>
      <w:pPr>
        <w:jc w:val="center"/>
      </w:pPr>
      <w:r>
        <w:rPr>
          <w:rFonts w:ascii="Calibri" w:hAnsi="Calibri"/>
          <w:i/>
          <w:color w:val="127A87"/>
          <w:sz w:val="25"/>
        </w:rPr>
        <w:t>Del análisis de la fricción a una intervención realizable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E9F7F8"/>
            <w:tcBorders>
              <w:start w:val="single" w:sz="8" w:color="1294A2"/>
              <w:top w:val="single" w:sz="8" w:color="1294A2"/>
              <w:end w:val="single" w:sz="8" w:color="1294A2"/>
              <w:bottom w:val="single" w:sz="8" w:color="1294A2"/>
            </w:tcBorders>
          </w:tcPr>
          <w:p>
            <w:r>
              <w:rPr>
                <w:b/>
                <w:color w:val="19355E"/>
                <w:sz w:val="22"/>
              </w:rPr>
              <w:t>Fórmula breve para redactar la oportunidad</w:t>
            </w:r>
          </w:p>
          <w:p>
            <w:pPr>
              <w:jc w:val="center"/>
            </w:pPr>
            <w:r>
              <w:rPr>
                <w:color w:val="127A87"/>
                <w:sz w:val="22"/>
              </w:rPr>
              <w:t>En [proceso], [usuario / área] enfrenta [fricción], lo que genera [impacto]. Una oportunidad de mejora sería [intervención propuesta].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Ejemplo: En Escritura Académica I, estudiantes de primer semestre presentan una fricción de retroalimentación asociada a devoluciones tardías y poco accionables, lo que afecta la mejora oportuna del borrador. Una oportunidad de mejora sería combinar rúbrica priorizada, banco de comentarios y apoyo de IA revisado por el docente.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FFFFFF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r>
              <w:rPr>
                <w:b/>
                <w:color w:val="19355E"/>
                <w:sz w:val="22"/>
              </w:rPr>
              <w:t>7. Oportunidad de mejora redactada</w:t>
            </w:r>
          </w:p>
          <w:p>
            <w:r>
              <w:rPr>
                <w:i/>
                <w:color w:val="127A87"/>
                <w:sz w:val="19"/>
              </w:rPr>
              <w:t>Redacte la oportunidad ya formulada, con claridad, foco y sentido práctico.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En Escritura Académica I, estudiantes de primer semestre y docente enfrentan una fricción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de retroalimentación asociada a devoluciones tardías y observaciones poco accionables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en el primer borrador. Una oportunidad de mejora es rediseñar la devolución con una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rúbrica breve de tres criterios, un banco de comentarios reutilizable y apoyo de IA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para proponer borradores de retroalimentación que el docente revisa antes de enviarlos.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8. Enfoque principal de solución</w:t>
            </w:r>
          </w:p>
          <w:p>
            <w:r>
              <w:rPr>
                <w:i/>
              </w:rPr>
              <w:t>Puede marcar más de una opción si el caso lo requiere.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5184"/>
            </w:tblGrid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☒ IA</w:t>
                  </w:r>
                </w:p>
              </w:tc>
            </w:tr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☐ Automatización</w:t>
                  </w:r>
                </w:p>
              </w:tc>
            </w:tr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☒ Rediseño de proceso</w:t>
                  </w:r>
                </w:p>
              </w:tc>
            </w:tr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☒ Capacitación</w:t>
                  </w:r>
                </w:p>
              </w:tc>
            </w:tr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☒ Ajuste de seguimiento</w:t>
                  </w:r>
                </w:p>
              </w:tc>
            </w:tr>
            <w:tr>
              <w:tc>
                <w:tcPr>
                  <w:tcW w:type="dxa" w:w="4752"/>
                  <w:tcBorders>
                    <w:start w:val="single" w:sz="4" w:color="D5E1E8"/>
                    <w:top w:val="single" w:sz="4" w:color="D5E1E8"/>
                    <w:end w:val="single" w:sz="4" w:color="D5E1E8"/>
                    <w:bottom w:val="single" w:sz="4" w:color="D5E1E8"/>
                  </w:tcBorders>
                </w:tcPr>
                <w:p>
                  <w:pPr>
                    <w:spacing w:after="0" w:before="0" w:line="240" w:lineRule="auto"/>
                  </w:pPr>
                  <w:r>
                    <w:rPr>
                      <w:rFonts w:ascii="Calibri" w:hAnsi="Calibri" w:eastAsia="Calibri"/>
                      <w:b w:val="0"/>
                      <w:i/>
                      <w:color w:val="9E9E9E"/>
                      <w:sz w:val="18"/>
                    </w:rPr>
                    <w:t>☐ Otra: __________________</w:t>
                  </w:r>
                </w:p>
              </w:tc>
            </w:tr>
          </w:tbl>
          <w:p/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9. Resultado esperado</w:t>
            </w:r>
          </w:p>
          <w:p>
            <w:r>
              <w:rPr>
                <w:i/>
              </w:rPr>
              <w:t>Describa qué debería mejorar de forma visible si la oportunidad funciona.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retroalimentación inicial se entrega en un máximo de 72 horas.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Los comentarios quedan vinculados a tres criterios claros y accionables.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versión final muestra menos errores reiterados y mejor reescritura.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El docente reduce tiempo repetitivo sin perder juicio pedagógico.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Cambria" w:hAnsi="Cambria" w:eastAsia="Cambria"/>
          <w:b/>
          <w:color w:val="19355E"/>
          <w:sz w:val="44"/>
        </w:rPr>
        <w:t>Priorización del caso</w:t>
      </w:r>
    </w:p>
    <w:p>
      <w:pPr>
        <w:jc w:val="center"/>
      </w:pPr>
      <w:r>
        <w:rPr>
          <w:rFonts w:ascii="Calibri" w:hAnsi="Calibri"/>
          <w:i/>
          <w:color w:val="127A87"/>
          <w:sz w:val="25"/>
        </w:rPr>
        <w:t>Lectura estratégica de una sola fricción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368"/>
            <w:shd w:fill="19355E"/>
            <w:tcBorders>
              <w:start w:val="single" w:sz="0" w:color="19355E"/>
              <w:top w:val="single" w:sz="0" w:color="19355E"/>
              <w:end w:val="single" w:sz="0" w:color="19355E"/>
              <w:bottom w:val="single" w:sz="0" w:color="19355E"/>
            </w:tcBorders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23"/>
              </w:rPr>
              <w:t>Priorización de un solo caso de fricción</w:t>
            </w:r>
          </w:p>
        </w:tc>
      </w:tr>
    </w:tbl>
    <w:p>
      <w:r>
        <w:rPr>
          <w:b/>
        </w:rPr>
        <w:t xml:space="preserve">Indicación: </w:t>
      </w:r>
      <w:r>
        <w:t>este cuadrante no compara varios casos. Ubique solo la fricción seleccionada según el impacto esperado de resolverla y el esfuerzo estimado para intervenirla.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1296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</w:tcPr>
          <w:p/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  <w:shd w:fill="E8EFF8"/>
          </w:tcPr>
          <w:p>
            <w:r>
              <w:rPr>
                <w:b/>
              </w:rPr>
              <w:t>Esfuerzo bajo</w:t>
            </w:r>
          </w:p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  <w:shd w:fill="E8EFF8"/>
          </w:tcPr>
          <w:p>
            <w:r>
              <w:rPr>
                <w:b/>
              </w:rPr>
              <w:t>Esfuerzo alto</w:t>
            </w:r>
          </w:p>
        </w:tc>
      </w:tr>
      <w:tr>
        <w:tc>
          <w:tcPr>
            <w:tcW w:type="dxa" w:w="1296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  <w:shd w:fill="E8EFF8"/>
          </w:tcPr>
          <w:p>
            <w:r>
              <w:rPr>
                <w:b/>
              </w:rPr>
              <w:t>Impacto alto</w:t>
            </w:r>
          </w:p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</w:tcPr>
          <w:p>
            <w:r>
              <w:rPr>
                <w:b/>
                <w:color w:val="19355E"/>
              </w:rPr>
              <w:t>Victoria rápida</w:t>
            </w:r>
          </w:p>
          <w:p/>
          <w:p>
            <w:r>
              <w:t>¿Qué hace viable intervenir esta fricción ahora?</w:t>
            </w:r>
          </w:p>
          <w:p/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Es viable porque usa herramientas disponibles,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se prueba en un solo curso y no automatiza la calificación.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preparación inicial se concentra en una rúbrica</w:t>
            </w:r>
          </w:p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</w:tcPr>
          <w:p>
            <w:r>
              <w:rPr>
                <w:b/>
                <w:color w:val="19355E"/>
              </w:rPr>
              <w:t>Proyecto estratégico</w:t>
            </w:r>
          </w:p>
          <w:p/>
          <w:p>
            <w:r>
              <w:t>¿Qué condiciones deben asegurarse antes de avanzar?</w:t>
            </w:r>
          </w:p>
          <w:p/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corresponde al caso.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se requiere una plataforma institucional nueva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ni una reforma curricular completa para iniciar.</w:t>
            </w:r>
          </w:p>
        </w:tc>
      </w:tr>
      <w:tr>
        <w:tc>
          <w:tcPr>
            <w:tcW w:type="dxa" w:w="1296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  <w:shd w:fill="E8EFF8"/>
          </w:tcPr>
          <w:p>
            <w:r>
              <w:rPr>
                <w:b/>
              </w:rPr>
              <w:t>Impacto bajo</w:t>
            </w:r>
          </w:p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</w:tcPr>
          <w:p>
            <w:r>
              <w:rPr>
                <w:b/>
                <w:color w:val="19355E"/>
              </w:rPr>
              <w:t>Ajuste menor</w:t>
            </w:r>
          </w:p>
          <w:p/>
          <w:p>
            <w:r>
              <w:t>¿Qué beneficio concreto generaría, aunque sea acotado?</w:t>
            </w:r>
          </w:p>
          <w:p/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corresponde al caso.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El beneficio esperado no es marginal: afecta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aprendizaje, tiempo y calidad de la devolución.</w:t>
            </w:r>
          </w:p>
        </w:tc>
        <w:tc>
          <w:tcPr>
            <w:tcW w:type="dxa" w:w="4464"/>
            <w:tcBorders>
              <w:start w:val="single" w:sz="8" w:color="AFC7D4"/>
              <w:top w:val="single" w:sz="8" w:color="AFC7D4"/>
              <w:end w:val="single" w:sz="8" w:color="AFC7D4"/>
              <w:bottom w:val="single" w:sz="8" w:color="AFC7D4"/>
            </w:tcBorders>
          </w:tcPr>
          <w:p>
            <w:r>
              <w:rPr>
                <w:b/>
                <w:color w:val="19355E"/>
              </w:rPr>
              <w:t>Posponer o rediseñar</w:t>
            </w:r>
          </w:p>
          <w:p/>
          <w:p>
            <w:r>
              <w:t>¿Qué tendría que cambiar para que valga la pena intervenirla?</w:t>
            </w:r>
          </w:p>
          <w:p/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corresponde al caso.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fricción ya justifica intervención y no conviene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posponerla a una fase posterior.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368"/>
            <w:shd w:fill="FFFFFF"/>
            <w:tcBorders>
              <w:start w:val="single" w:sz="8" w:color="B7CAD6"/>
              <w:top w:val="single" w:sz="8" w:color="B7CAD6"/>
              <w:end w:val="single" w:sz="8" w:color="B7CAD6"/>
              <w:bottom w:val="single" w:sz="8" w:color="B7CAD6"/>
            </w:tcBorders>
          </w:tcPr>
          <w:p>
            <w:r>
              <w:rPr>
                <w:b/>
                <w:color w:val="19355E"/>
                <w:sz w:val="22"/>
              </w:rPr>
              <w:t>Justificación de la ubicación en el cuadrante</w:t>
            </w:r>
          </w:p>
          <w:p>
            <w:r>
              <w:rPr>
                <w:i/>
                <w:color w:val="127A87"/>
                <w:sz w:val="19"/>
              </w:rPr>
              <w:t>Explique por qué el caso fue ubicado en ese cuadrante y qué evidencia respalda esa decisión.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El caso se ubica como victoria rápida porque la mejora es visible y medible en poco tiempo.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El piloto puede ejecutarse con una sola cohorte, criterios ya disponibles y revisión docente.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No exige cambios normativos ni compras complejas para comenzar.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evidencia muestra alta recurrencia y una afectación directa sobre aprendizaje y carga docente.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Cambria" w:hAnsi="Cambria" w:eastAsia="Cambria"/>
          <w:b/>
          <w:color w:val="19355E"/>
          <w:sz w:val="44"/>
        </w:rPr>
        <w:t>Validación del caso</w:t>
      </w:r>
    </w:p>
    <w:p>
      <w:pPr>
        <w:jc w:val="center"/>
      </w:pPr>
      <w:r>
        <w:rPr>
          <w:rFonts w:ascii="Calibri" w:hAnsi="Calibri"/>
          <w:i/>
          <w:color w:val="127A87"/>
          <w:sz w:val="25"/>
        </w:rPr>
        <w:t>Del primer diseño al piloto breve y medible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10. Hipótesis de intervención</w:t>
            </w:r>
          </w:p>
          <w:p>
            <w:r>
              <w:rPr>
                <w:i/>
              </w:rPr>
              <w:t>Si aplicamos esta intervención, entonces debería observarse el siguiente cambio: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Si aplicamos una rúbrica breve, un banco de comentarios y apoyo de IA revisado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por el docente, entonces la devolución del primer borrador debería bajar de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8–12 días a 48–72 horas y las observaciones deberían ser más claras y accionables.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11. Prueba pequeña</w:t>
            </w:r>
          </w:p>
          <w:p>
            <w:r>
              <w:rPr>
                <w:i/>
              </w:rPr>
              <w:t>Defina un piloto breve, acotado y posible dentro de la unidad o curso: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Pilotear durante tres semanas en un grupo del curso.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Usar una rúbrica de tres criterios y veinte comentarios base.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La IA solo sugiere borradores de respuesta; el docente valida y envía.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12. Indicador inicial de éxito</w:t>
            </w:r>
          </w:p>
          <w:p>
            <w:r>
              <w:rPr>
                <w:i/>
              </w:rPr>
              <w:t>Señale cómo sabrá si el piloto funcionó o no: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Tiempo medio de devolución igual o menor a 72 horas.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Al menos 80 % de estudiantes identifica dos acciones concretas de mejora.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Disminución visible de errores reiterados en la versión final.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13. Decisión esperada</w:t>
            </w:r>
          </w:p>
          <w:p>
            <w:r>
              <w:rPr>
                <w:i/>
              </w:rPr>
              <w:t>Indique qué decisión permitiría tomar el piloto: continuar, ajustar, escalar o descartar: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Continuar y escalar si se cumple el tiempo y mejora la calidad de reescritura.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Ajustar si la velocidad mejora, pero la claridad de la devolución sigue baja.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Descartar si no ahorra tiempo ni mejora la utilidad pedagógica.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14. Filtro ético</w:t>
            </w:r>
          </w:p>
          <w:p>
            <w:r>
              <w:t>Autonomía: ¿qué debe seguir requiriendo juicio humano?</w:t>
            </w:r>
          </w:p>
          <w:p>
            <w:r>
              <w:t>Equidad: ¿a quién podría afectar de forma desigual?</w:t>
            </w:r>
          </w:p>
          <w:p>
            <w:r>
              <w:t>Transparencia: ¿cómo se explicará el uso de la intervención?</w:t>
            </w:r>
          </w:p>
          <w:p/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Autonomía: la calificación final y el juicio cualitativo siguen siendo del docente.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Equidad: deben revisarse sesgos en comentarios tipo y atender casos con mayor rezago.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Transparencia: se informa que la IA apoya el borrador de comentarios,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pero la devolución final es revisada y aprobada por la persona docente.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  <w:tc>
          <w:tcPr>
            <w:tcW w:type="dxa" w:w="5184"/>
            <w:tcBorders>
              <w:start w:val="single" w:sz="8" w:color="C9D7E1"/>
              <w:top w:val="single" w:sz="8" w:color="C9D7E1"/>
              <w:end w:val="single" w:sz="8" w:color="C9D7E1"/>
              <w:bottom w:val="single" w:sz="8" w:color="C9D7E1"/>
            </w:tcBorders>
          </w:tcPr>
          <w:p>
            <w:r>
              <w:rPr>
                <w:b/>
                <w:color w:val="19355E"/>
              </w:rPr>
              <w:t>15. Ruta inmediata de acción</w:t>
            </w:r>
          </w:p>
          <w:p>
            <w:r>
              <w:t>Consigne el primer paso, el apoyo requerido y el plazo inicial.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Primer paso: diseñar una rúbrica breve y un banco inicial de comentarios.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Apoyo requerido: docente líder, apoyo pedagógico y orientación básica en uso de IA.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Plazo inicial: dos semanas para preparación y una entrega para pilotaje.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Luego se revisan tiempos, calidad de la devolución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  <w:t>y percepción estudiantil para decidir continuidad.</w:t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  <w:p>
            <w:pPr>
              <w:spacing w:after="0" w:before="0" w:line="240" w:lineRule="auto"/>
            </w:pPr>
            <w:r>
              <w:rPr>
                <w:rFonts w:ascii="Calibri" w:hAnsi="Calibri" w:eastAsia="Calibri"/>
                <w:b w:val="0"/>
                <w:i/>
                <w:color w:val="9E9E9E"/>
                <w:sz w:val="17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767C"/>
        <w:sz w:val="18"/>
      </w:rPr>
      <w:t>Ficha de diligenciamiento - Canvas de oportunidad universitaria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