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28A" w14:textId="3392E7F1" w:rsidR="002C1D03" w:rsidRPr="0056312F" w:rsidRDefault="009D21F7" w:rsidP="002C1D03">
      <w:pPr>
        <w:jc w:val="center"/>
        <w:rPr>
          <w:rFonts w:ascii="Book Antiqua" w:hAnsi="Book Antiqua"/>
          <w:sz w:val="32"/>
        </w:rPr>
      </w:pPr>
      <w:r>
        <w:rPr>
          <w:rFonts w:ascii="Book Antiqua" w:hAnsi="Book Antiqua"/>
          <w:sz w:val="32"/>
        </w:rPr>
        <w:t xml:space="preserve">Apuntes sobre </w:t>
      </w:r>
      <w:r w:rsidR="002C1D03" w:rsidRPr="0056312F">
        <w:rPr>
          <w:rFonts w:ascii="Book Antiqua" w:hAnsi="Book Antiqua"/>
          <w:sz w:val="32"/>
        </w:rPr>
        <w:t>“</w:t>
      </w:r>
      <w:r w:rsidR="00963694">
        <w:rPr>
          <w:rFonts w:ascii="Book Antiqua" w:hAnsi="Book Antiqua"/>
          <w:sz w:val="32"/>
        </w:rPr>
        <w:t xml:space="preserve">El Futuro de la </w:t>
      </w:r>
      <w:r w:rsidR="002C1D03">
        <w:rPr>
          <w:rFonts w:ascii="Book Antiqua" w:hAnsi="Book Antiqua"/>
          <w:sz w:val="32"/>
        </w:rPr>
        <w:t>Filosofía</w:t>
      </w:r>
      <w:r w:rsidR="00963694">
        <w:rPr>
          <w:rFonts w:ascii="Book Antiqua" w:hAnsi="Book Antiqua"/>
          <w:sz w:val="32"/>
        </w:rPr>
        <w:t xml:space="preserve"> después de Wittgenstein</w:t>
      </w:r>
      <w:r w:rsidR="002C1D03" w:rsidRPr="0056312F">
        <w:rPr>
          <w:rFonts w:ascii="Book Antiqua" w:hAnsi="Book Antiqua"/>
          <w:sz w:val="32"/>
        </w:rPr>
        <w:t>”</w:t>
      </w:r>
    </w:p>
    <w:p w14:paraId="2D87E8FB" w14:textId="77777777" w:rsidR="002C1D03" w:rsidRPr="0056312F" w:rsidRDefault="002C1D03" w:rsidP="002C1D03">
      <w:pPr>
        <w:jc w:val="center"/>
        <w:rPr>
          <w:rFonts w:ascii="Book Antiqua" w:hAnsi="Book Antiqua"/>
          <w:i/>
          <w:sz w:val="28"/>
          <w:szCs w:val="28"/>
        </w:rPr>
      </w:pPr>
      <w:r w:rsidRPr="0056312F">
        <w:rPr>
          <w:rFonts w:ascii="Book Antiqua" w:hAnsi="Book Antiqua"/>
          <w:i/>
          <w:sz w:val="28"/>
          <w:szCs w:val="28"/>
        </w:rPr>
        <w:t xml:space="preserve">Por: </w:t>
      </w:r>
      <w:r w:rsidR="00963694">
        <w:rPr>
          <w:rFonts w:ascii="Book Antiqua" w:hAnsi="Book Antiqua"/>
          <w:i/>
          <w:sz w:val="28"/>
          <w:szCs w:val="28"/>
        </w:rPr>
        <w:t>Modesto Gómez Alonso</w:t>
      </w:r>
      <w:r w:rsidRPr="0056312F">
        <w:rPr>
          <w:rFonts w:ascii="Book Antiqua" w:hAnsi="Book Antiqua"/>
          <w:i/>
          <w:sz w:val="28"/>
          <w:szCs w:val="28"/>
        </w:rPr>
        <w:t>. En:</w:t>
      </w:r>
      <w:r>
        <w:rPr>
          <w:rFonts w:ascii="Book Antiqua" w:hAnsi="Book Antiqua"/>
          <w:i/>
          <w:sz w:val="28"/>
          <w:szCs w:val="28"/>
        </w:rPr>
        <w:t xml:space="preserve"> </w:t>
      </w:r>
      <w:r w:rsidR="00963694">
        <w:rPr>
          <w:rFonts w:ascii="Book Antiqua" w:hAnsi="Book Antiqua"/>
          <w:i/>
          <w:sz w:val="28"/>
          <w:szCs w:val="28"/>
        </w:rPr>
        <w:t>Daimon: Revista Internacional de Filosofía Número 3 , 2010</w:t>
      </w:r>
      <w:r>
        <w:rPr>
          <w:rFonts w:ascii="Book Antiqua" w:hAnsi="Book Antiqua"/>
          <w:i/>
          <w:sz w:val="28"/>
          <w:szCs w:val="28"/>
        </w:rPr>
        <w:t xml:space="preserve"> </w:t>
      </w:r>
      <w:r w:rsidRPr="0056312F">
        <w:rPr>
          <w:rFonts w:ascii="Book Antiqua" w:hAnsi="Book Antiqua"/>
          <w:i/>
          <w:sz w:val="28"/>
          <w:szCs w:val="28"/>
        </w:rPr>
        <w:t xml:space="preserve">pp, </w:t>
      </w:r>
      <w:r w:rsidR="00963694">
        <w:rPr>
          <w:rFonts w:ascii="Book Antiqua" w:hAnsi="Book Antiqua"/>
          <w:i/>
          <w:sz w:val="28"/>
          <w:szCs w:val="28"/>
        </w:rPr>
        <w:t>293</w:t>
      </w:r>
      <w:r w:rsidRPr="0056312F">
        <w:rPr>
          <w:rFonts w:ascii="Book Antiqua" w:hAnsi="Book Antiqua"/>
          <w:i/>
          <w:sz w:val="28"/>
          <w:szCs w:val="28"/>
        </w:rPr>
        <w:t>-</w:t>
      </w:r>
      <w:r w:rsidR="00963694">
        <w:rPr>
          <w:rFonts w:ascii="Book Antiqua" w:hAnsi="Book Antiqua"/>
          <w:i/>
          <w:sz w:val="28"/>
          <w:szCs w:val="28"/>
        </w:rPr>
        <w:t>302</w:t>
      </w:r>
      <w:r w:rsidRPr="0056312F">
        <w:rPr>
          <w:rFonts w:ascii="Book Antiqua" w:hAnsi="Book Antiqua"/>
          <w:i/>
          <w:sz w:val="28"/>
          <w:szCs w:val="28"/>
        </w:rPr>
        <w:t>.</w:t>
      </w:r>
    </w:p>
    <w:p w14:paraId="5201BEA6" w14:textId="77777777" w:rsidR="002C1D03" w:rsidRPr="0056312F" w:rsidRDefault="002C1D03" w:rsidP="002C1D03">
      <w:pPr>
        <w:jc w:val="both"/>
        <w:rPr>
          <w:rFonts w:ascii="Book Antiqua" w:hAnsi="Book Antiqua"/>
        </w:rPr>
      </w:pPr>
    </w:p>
    <w:p w14:paraId="27FBBB80" w14:textId="419D2503" w:rsidR="002C1D03" w:rsidRPr="0056312F" w:rsidRDefault="002C1D03" w:rsidP="002C1D03">
      <w:pPr>
        <w:jc w:val="center"/>
        <w:rPr>
          <w:rFonts w:ascii="Book Antiqua" w:hAnsi="Book Antiqua"/>
        </w:rPr>
      </w:pPr>
      <w:r w:rsidRPr="0056312F">
        <w:rPr>
          <w:rFonts w:ascii="Book Antiqua" w:hAnsi="Book Antiqua"/>
        </w:rPr>
        <w:t>Miguel Fonseca</w:t>
      </w:r>
    </w:p>
    <w:p w14:paraId="1A3877D4" w14:textId="77777777" w:rsidR="002C1D03" w:rsidRPr="0056312F" w:rsidRDefault="002C1D03" w:rsidP="002C1D03">
      <w:pPr>
        <w:jc w:val="both"/>
        <w:rPr>
          <w:rFonts w:ascii="Book Antiqua" w:hAnsi="Book Antiqua"/>
        </w:rPr>
      </w:pPr>
    </w:p>
    <w:p w14:paraId="0359C6FA" w14:textId="77777777" w:rsidR="002C1D03" w:rsidRPr="0056312F" w:rsidRDefault="002C1D03" w:rsidP="002C1D03">
      <w:pPr>
        <w:jc w:val="both"/>
        <w:rPr>
          <w:rFonts w:ascii="Book Antiqua" w:hAnsi="Book Antiqua"/>
        </w:rPr>
      </w:pPr>
    </w:p>
    <w:p w14:paraId="2D83A1C8" w14:textId="78B5E832" w:rsidR="002C1D03" w:rsidRDefault="00963694" w:rsidP="002C1D03">
      <w:pPr>
        <w:jc w:val="both"/>
        <w:rPr>
          <w:rFonts w:ascii="Book Antiqua" w:hAnsi="Book Antiqua"/>
        </w:rPr>
      </w:pPr>
      <w:r>
        <w:rPr>
          <w:rFonts w:ascii="Book Antiqua" w:hAnsi="Book Antiqua"/>
        </w:rPr>
        <w:t xml:space="preserve">Para el profesor Modesto Gómez </w:t>
      </w:r>
      <w:r w:rsidR="001E5E1A">
        <w:rPr>
          <w:rFonts w:ascii="Book Antiqua" w:hAnsi="Book Antiqua"/>
        </w:rPr>
        <w:t xml:space="preserve">existe un nuevo horizonte para filosofar después de Wittgenstein, que a su vez, está anclado en él mismo. Wittgenstein introduce al final de su obra una justificación del método en filosofía.  </w:t>
      </w:r>
      <w:r w:rsidR="002C1D03" w:rsidRPr="0056312F">
        <w:rPr>
          <w:rFonts w:ascii="Book Antiqua" w:hAnsi="Book Antiqua"/>
          <w:i/>
        </w:rPr>
        <w:t>“</w:t>
      </w:r>
      <w:r w:rsidR="00C74975">
        <w:rPr>
          <w:rFonts w:ascii="Book Antiqua" w:hAnsi="Book Antiqua"/>
          <w:i/>
        </w:rPr>
        <w:t>reintroduce en su pensamiento un modelo no relativizado de racionalidad. En otras palabras: el propio método terapéutico, para ser efectivo, exige formas sustantivas de filosofía</w:t>
      </w:r>
      <w:r w:rsidR="002C1D03">
        <w:rPr>
          <w:rFonts w:ascii="Book Antiqua" w:hAnsi="Book Antiqua"/>
          <w:i/>
        </w:rPr>
        <w:t xml:space="preserve"> </w:t>
      </w:r>
      <w:r w:rsidR="002C1D03" w:rsidRPr="0056312F">
        <w:rPr>
          <w:rFonts w:ascii="Book Antiqua" w:hAnsi="Book Antiqua"/>
          <w:i/>
        </w:rPr>
        <w:t xml:space="preserve">  ”</w:t>
      </w:r>
      <w:r w:rsidR="002C1D03" w:rsidRPr="0056312F">
        <w:rPr>
          <w:rFonts w:ascii="Book Antiqua" w:hAnsi="Book Antiqua"/>
        </w:rPr>
        <w:t xml:space="preserve"> (</w:t>
      </w:r>
      <w:r w:rsidR="00C74975">
        <w:rPr>
          <w:rFonts w:ascii="Book Antiqua" w:hAnsi="Book Antiqua"/>
        </w:rPr>
        <w:t>Gómez</w:t>
      </w:r>
      <w:r w:rsidR="002C1D03" w:rsidRPr="0056312F">
        <w:rPr>
          <w:rFonts w:ascii="Book Antiqua" w:hAnsi="Book Antiqua"/>
        </w:rPr>
        <w:t xml:space="preserve">, </w:t>
      </w:r>
      <w:r w:rsidR="00C74975">
        <w:rPr>
          <w:rFonts w:ascii="Book Antiqua" w:hAnsi="Book Antiqua"/>
        </w:rPr>
        <w:t>2010</w:t>
      </w:r>
      <w:r w:rsidR="002C1D03" w:rsidRPr="0056312F">
        <w:rPr>
          <w:rFonts w:ascii="Book Antiqua" w:hAnsi="Book Antiqua"/>
        </w:rPr>
        <w:t xml:space="preserve">: </w:t>
      </w:r>
      <w:r w:rsidR="00C74975">
        <w:rPr>
          <w:rFonts w:ascii="Book Antiqua" w:hAnsi="Book Antiqua"/>
        </w:rPr>
        <w:t>293</w:t>
      </w:r>
      <w:r w:rsidR="002C1D03" w:rsidRPr="0056312F">
        <w:rPr>
          <w:rFonts w:ascii="Book Antiqua" w:hAnsi="Book Antiqua"/>
        </w:rPr>
        <w:t xml:space="preserve">). </w:t>
      </w:r>
    </w:p>
    <w:p w14:paraId="7599BBA6" w14:textId="77777777" w:rsidR="00C74975" w:rsidRDefault="00C74975" w:rsidP="002C1D03">
      <w:pPr>
        <w:jc w:val="both"/>
        <w:rPr>
          <w:rFonts w:ascii="Book Antiqua" w:hAnsi="Book Antiqua"/>
        </w:rPr>
      </w:pPr>
    </w:p>
    <w:p w14:paraId="25C0C851" w14:textId="637074D5" w:rsidR="00C74975" w:rsidRDefault="00C74975" w:rsidP="002C1D03">
      <w:pPr>
        <w:jc w:val="both"/>
        <w:rPr>
          <w:rFonts w:ascii="Book Antiqua" w:hAnsi="Book Antiqua"/>
        </w:rPr>
      </w:pPr>
      <w:r>
        <w:rPr>
          <w:rFonts w:ascii="Book Antiqua" w:hAnsi="Book Antiqua"/>
        </w:rPr>
        <w:t>Según el profesor Gómez el método del segundo Wittgenstein es cierto tipo de inhibición intelectual, al partir de un sistema prefijado</w:t>
      </w:r>
      <w:r w:rsidR="003B1868">
        <w:rPr>
          <w:rFonts w:ascii="Book Antiqua" w:hAnsi="Book Antiqua"/>
        </w:rPr>
        <w:t xml:space="preserve"> de reglas al cual se le confiere una autoridad última, se muestra que, al transgredir tales marcos de inteligibilidad, los problemas de la filosofía carecen de sentido. </w:t>
      </w:r>
    </w:p>
    <w:p w14:paraId="6EB4FB98" w14:textId="77777777" w:rsidR="003B1868" w:rsidRDefault="003B1868" w:rsidP="003B1868">
      <w:pPr>
        <w:jc w:val="both"/>
        <w:rPr>
          <w:rFonts w:ascii="Book Antiqua" w:hAnsi="Book Antiqua"/>
        </w:rPr>
      </w:pPr>
    </w:p>
    <w:p w14:paraId="4C191490" w14:textId="7FC0D716" w:rsidR="003B1868" w:rsidRDefault="003B1868" w:rsidP="003B1868">
      <w:pPr>
        <w:jc w:val="both"/>
        <w:rPr>
          <w:rFonts w:ascii="Book Antiqua" w:hAnsi="Book Antiqua"/>
        </w:rPr>
      </w:pPr>
      <w:r w:rsidRPr="0056312F">
        <w:rPr>
          <w:rFonts w:ascii="Book Antiqua" w:hAnsi="Book Antiqua"/>
          <w:i/>
        </w:rPr>
        <w:t>“</w:t>
      </w:r>
      <w:r>
        <w:rPr>
          <w:rFonts w:ascii="Book Antiqua" w:hAnsi="Book Antiqua"/>
          <w:i/>
        </w:rPr>
        <w:t xml:space="preserve">¿No pretende Wittgenstein enseñarnos a como dejar de pensar?  ¿No es su objetivo persuadirmos de que la filosofía carece de futuro, o, mejor dicho, de que su único futuro radica  en una tarea que, agotándose en la crítica y restringida a la aplicación automática de un código, ni legisla, ni descubre , ni emplea potencial creativo o recurso imaginativo alguno? </w:t>
      </w:r>
      <w:r w:rsidRPr="0056312F">
        <w:rPr>
          <w:rFonts w:ascii="Book Antiqua" w:hAnsi="Book Antiqua"/>
          <w:i/>
        </w:rPr>
        <w:t xml:space="preserve">  ”</w:t>
      </w:r>
      <w:r w:rsidRPr="0056312F">
        <w:rPr>
          <w:rFonts w:ascii="Book Antiqua" w:hAnsi="Book Antiqua"/>
        </w:rPr>
        <w:t xml:space="preserve"> (</w:t>
      </w:r>
      <w:r>
        <w:rPr>
          <w:rFonts w:ascii="Book Antiqua" w:hAnsi="Book Antiqua"/>
        </w:rPr>
        <w:t>Gómez</w:t>
      </w:r>
      <w:r w:rsidRPr="0056312F">
        <w:rPr>
          <w:rFonts w:ascii="Book Antiqua" w:hAnsi="Book Antiqua"/>
        </w:rPr>
        <w:t xml:space="preserve">, </w:t>
      </w:r>
      <w:r>
        <w:rPr>
          <w:rFonts w:ascii="Book Antiqua" w:hAnsi="Book Antiqua"/>
        </w:rPr>
        <w:t>2010</w:t>
      </w:r>
      <w:r w:rsidRPr="0056312F">
        <w:rPr>
          <w:rFonts w:ascii="Book Antiqua" w:hAnsi="Book Antiqua"/>
        </w:rPr>
        <w:t xml:space="preserve">: </w:t>
      </w:r>
      <w:r>
        <w:rPr>
          <w:rFonts w:ascii="Book Antiqua" w:hAnsi="Book Antiqua"/>
        </w:rPr>
        <w:t>295</w:t>
      </w:r>
      <w:r w:rsidRPr="0056312F">
        <w:rPr>
          <w:rFonts w:ascii="Book Antiqua" w:hAnsi="Book Antiqua"/>
        </w:rPr>
        <w:t xml:space="preserve">). </w:t>
      </w:r>
    </w:p>
    <w:p w14:paraId="6C3EF7E7" w14:textId="77777777" w:rsidR="003B1868" w:rsidRPr="0056312F" w:rsidRDefault="003B1868" w:rsidP="002C1D03">
      <w:pPr>
        <w:jc w:val="both"/>
        <w:rPr>
          <w:rFonts w:ascii="Book Antiqua" w:hAnsi="Book Antiqua"/>
        </w:rPr>
      </w:pPr>
    </w:p>
    <w:p w14:paraId="10BEAEC7" w14:textId="77777777" w:rsidR="0007578C" w:rsidRDefault="00E668A9" w:rsidP="00E668A9">
      <w:pPr>
        <w:jc w:val="both"/>
        <w:rPr>
          <w:rFonts w:ascii="Book Antiqua" w:hAnsi="Book Antiqua"/>
        </w:rPr>
      </w:pPr>
      <w:r>
        <w:rPr>
          <w:rFonts w:ascii="Book Antiqua" w:hAnsi="Book Antiqua"/>
        </w:rPr>
        <w:t xml:space="preserve">Aquí se busca afirmar que ante este dilema existe un nuevo punto de vista que no se corresponde con la tradición establecida. </w:t>
      </w:r>
    </w:p>
    <w:p w14:paraId="0A2AC7DA" w14:textId="77777777" w:rsidR="0007578C" w:rsidRDefault="0007578C" w:rsidP="00E668A9">
      <w:pPr>
        <w:jc w:val="both"/>
        <w:rPr>
          <w:rFonts w:ascii="Book Antiqua" w:hAnsi="Book Antiqua"/>
        </w:rPr>
      </w:pPr>
    </w:p>
    <w:p w14:paraId="72A37B81" w14:textId="7E43CD60" w:rsidR="00E668A9" w:rsidRDefault="00E668A9" w:rsidP="00E668A9">
      <w:pPr>
        <w:jc w:val="both"/>
        <w:rPr>
          <w:rFonts w:ascii="Book Antiqua" w:hAnsi="Book Antiqua"/>
        </w:rPr>
      </w:pPr>
      <w:r>
        <w:rPr>
          <w:rFonts w:ascii="Book Antiqua" w:hAnsi="Book Antiqua"/>
          <w:i/>
        </w:rPr>
        <w:t>“Este Wittgenstein pirrónico, en la medida en que percibe la gramática ordinaria, más que como sistema axiomático, como yuxtaposición imprevisible de usos lingüísticos, más que como estructura formalizada a priori, como materia primera que, requiriendo la construcción a posteriori de su marco formal, es constitutivamente polimórfica, conciba como completamente autónomo su método filosófico, como libre construcción de marcos legislativos a la que únicamen</w:t>
      </w:r>
      <w:r w:rsidR="00561F21">
        <w:rPr>
          <w:rFonts w:ascii="Book Antiqua" w:hAnsi="Book Antiqua"/>
          <w:i/>
        </w:rPr>
        <w:t>te dirige la efectividad terapéu</w:t>
      </w:r>
      <w:r>
        <w:rPr>
          <w:rFonts w:ascii="Book Antiqua" w:hAnsi="Book Antiqua"/>
          <w:i/>
        </w:rPr>
        <w:t xml:space="preserve">tica. </w:t>
      </w:r>
      <w:r w:rsidRPr="0056312F">
        <w:rPr>
          <w:rFonts w:ascii="Book Antiqua" w:hAnsi="Book Antiqua"/>
          <w:i/>
        </w:rPr>
        <w:t xml:space="preserve">  ”</w:t>
      </w:r>
      <w:r w:rsidRPr="0056312F">
        <w:rPr>
          <w:rFonts w:ascii="Book Antiqua" w:hAnsi="Book Antiqua"/>
        </w:rPr>
        <w:t xml:space="preserve"> (</w:t>
      </w:r>
      <w:r>
        <w:rPr>
          <w:rFonts w:ascii="Book Antiqua" w:hAnsi="Book Antiqua"/>
        </w:rPr>
        <w:t>Gómez</w:t>
      </w:r>
      <w:r w:rsidRPr="0056312F">
        <w:rPr>
          <w:rFonts w:ascii="Book Antiqua" w:hAnsi="Book Antiqua"/>
        </w:rPr>
        <w:t xml:space="preserve">, </w:t>
      </w:r>
      <w:r>
        <w:rPr>
          <w:rFonts w:ascii="Book Antiqua" w:hAnsi="Book Antiqua"/>
        </w:rPr>
        <w:t>2010</w:t>
      </w:r>
      <w:r w:rsidRPr="0056312F">
        <w:rPr>
          <w:rFonts w:ascii="Book Antiqua" w:hAnsi="Book Antiqua"/>
        </w:rPr>
        <w:t xml:space="preserve">: </w:t>
      </w:r>
      <w:r w:rsidR="00240245">
        <w:rPr>
          <w:rFonts w:ascii="Book Antiqua" w:hAnsi="Book Antiqua"/>
        </w:rPr>
        <w:t>296</w:t>
      </w:r>
      <w:r w:rsidRPr="0056312F">
        <w:rPr>
          <w:rFonts w:ascii="Book Antiqua" w:hAnsi="Book Antiqua"/>
        </w:rPr>
        <w:t xml:space="preserve">). </w:t>
      </w:r>
    </w:p>
    <w:p w14:paraId="4ED895D9" w14:textId="77777777" w:rsidR="00CC2E2E" w:rsidRDefault="00CC2E2E" w:rsidP="00E668A9">
      <w:pPr>
        <w:jc w:val="both"/>
        <w:rPr>
          <w:rFonts w:ascii="Book Antiqua" w:hAnsi="Book Antiqua"/>
        </w:rPr>
      </w:pPr>
    </w:p>
    <w:p w14:paraId="65F97C99" w14:textId="39D4B355" w:rsidR="00CC2E2E" w:rsidRDefault="00240245" w:rsidP="00E668A9">
      <w:pPr>
        <w:jc w:val="both"/>
        <w:rPr>
          <w:rFonts w:ascii="Book Antiqua" w:hAnsi="Book Antiqua"/>
        </w:rPr>
      </w:pPr>
      <w:r>
        <w:rPr>
          <w:rFonts w:ascii="Book Antiqua" w:hAnsi="Book Antiqua"/>
        </w:rPr>
        <w:t>El objetivo de la filosofía consiste en cambiar y ampliar nuestro punto de vista. Wittgenstein pretende, según Gómez, redirigir la racionalidad de un uso sustantivo, a una interpretación flexible, analógica y clarificadora. El futuro de la deviene así en una metafísica descriptiva. No obstante,  a este ejercicio terapéutico al parecer le conviene una justificación. En la filosofía wittgensteineana existen cierto tipo de sin sentidos</w:t>
      </w:r>
      <w:r w:rsidR="00C418B0">
        <w:rPr>
          <w:rFonts w:ascii="Book Antiqua" w:hAnsi="Book Antiqua"/>
        </w:rPr>
        <w:t xml:space="preserve"> objetivos, pero no extra filosó</w:t>
      </w:r>
      <w:r>
        <w:rPr>
          <w:rFonts w:ascii="Book Antiqua" w:hAnsi="Book Antiqua"/>
        </w:rPr>
        <w:t xml:space="preserve">ficos. En la filosofía  de </w:t>
      </w:r>
      <w:r>
        <w:rPr>
          <w:rFonts w:ascii="Book Antiqua" w:hAnsi="Book Antiqua"/>
        </w:rPr>
        <w:lastRenderedPageBreak/>
        <w:t>Wittgenstein no cabe una justificación abso</w:t>
      </w:r>
      <w:r w:rsidR="00C418B0">
        <w:rPr>
          <w:rFonts w:ascii="Book Antiqua" w:hAnsi="Book Antiqua"/>
        </w:rPr>
        <w:t>l</w:t>
      </w:r>
      <w:r>
        <w:rPr>
          <w:rFonts w:ascii="Book Antiqua" w:hAnsi="Book Antiqua"/>
        </w:rPr>
        <w:t xml:space="preserve">uta, pues este no ofrece una teoría. Sin embargo, sí se pueden establecer algunas unidades de medida sobre el método. </w:t>
      </w:r>
    </w:p>
    <w:p w14:paraId="601C170E" w14:textId="77777777" w:rsidR="0007578C" w:rsidRDefault="0007578C" w:rsidP="00E668A9">
      <w:pPr>
        <w:jc w:val="both"/>
        <w:rPr>
          <w:rFonts w:ascii="Book Antiqua" w:hAnsi="Book Antiqua"/>
        </w:rPr>
      </w:pPr>
    </w:p>
    <w:p w14:paraId="30AD618F" w14:textId="0B6DDCDD" w:rsidR="0007578C" w:rsidRDefault="0007578C" w:rsidP="00E668A9">
      <w:pPr>
        <w:jc w:val="both"/>
        <w:rPr>
          <w:rFonts w:ascii="Book Antiqua" w:hAnsi="Book Antiqua"/>
        </w:rPr>
      </w:pPr>
      <w:r>
        <w:rPr>
          <w:rFonts w:ascii="Book Antiqua" w:hAnsi="Book Antiqua"/>
        </w:rPr>
        <w:t xml:space="preserve">Si pensamos a un Wittgenstein escéptico podemos ver como surgen del ejercicio mismo de la duda, la posibilidad de establecer o construir marcos alternativos de racionalidad. </w:t>
      </w:r>
    </w:p>
    <w:p w14:paraId="4D38FB22" w14:textId="77777777" w:rsidR="0007578C" w:rsidRDefault="0007578C" w:rsidP="0007578C">
      <w:pPr>
        <w:jc w:val="both"/>
        <w:rPr>
          <w:rFonts w:ascii="Book Antiqua" w:hAnsi="Book Antiqua"/>
        </w:rPr>
      </w:pPr>
    </w:p>
    <w:p w14:paraId="1E07319A" w14:textId="79BA2362" w:rsidR="0007578C" w:rsidRDefault="0007578C" w:rsidP="0007578C">
      <w:pPr>
        <w:jc w:val="both"/>
        <w:rPr>
          <w:rFonts w:ascii="Book Antiqua" w:hAnsi="Book Antiqua"/>
        </w:rPr>
      </w:pPr>
      <w:r>
        <w:rPr>
          <w:rFonts w:ascii="Book Antiqua" w:hAnsi="Book Antiqua"/>
          <w:i/>
        </w:rPr>
        <w:t xml:space="preserve">“Ser escépticos es, por el contrario, aprender a mirarlo todo desde otra representación, aprender a distanciarnos de un sentido prefijado de los fenómenos, sin que estos se disuelvan en el caos o en lo inefable(…) la terapia wittgensteineana consiste, en cierto modo, en un ejercicio riguroso y sostenido de radicalidad escéptica. </w:t>
      </w:r>
      <w:r w:rsidRPr="0056312F">
        <w:rPr>
          <w:rFonts w:ascii="Book Antiqua" w:hAnsi="Book Antiqua"/>
          <w:i/>
        </w:rPr>
        <w:t xml:space="preserve">  ”</w:t>
      </w:r>
      <w:r w:rsidRPr="0056312F">
        <w:rPr>
          <w:rFonts w:ascii="Book Antiqua" w:hAnsi="Book Antiqua"/>
        </w:rPr>
        <w:t xml:space="preserve"> (</w:t>
      </w:r>
      <w:r>
        <w:rPr>
          <w:rFonts w:ascii="Book Antiqua" w:hAnsi="Book Antiqua"/>
        </w:rPr>
        <w:t>Gómez</w:t>
      </w:r>
      <w:r w:rsidRPr="0056312F">
        <w:rPr>
          <w:rFonts w:ascii="Book Antiqua" w:hAnsi="Book Antiqua"/>
        </w:rPr>
        <w:t xml:space="preserve">, </w:t>
      </w:r>
      <w:r>
        <w:rPr>
          <w:rFonts w:ascii="Book Antiqua" w:hAnsi="Book Antiqua"/>
        </w:rPr>
        <w:t>2010</w:t>
      </w:r>
      <w:r w:rsidRPr="0056312F">
        <w:rPr>
          <w:rFonts w:ascii="Book Antiqua" w:hAnsi="Book Antiqua"/>
        </w:rPr>
        <w:t xml:space="preserve">: </w:t>
      </w:r>
      <w:r>
        <w:rPr>
          <w:rFonts w:ascii="Book Antiqua" w:hAnsi="Book Antiqua"/>
        </w:rPr>
        <w:t>300</w:t>
      </w:r>
      <w:r w:rsidRPr="0056312F">
        <w:rPr>
          <w:rFonts w:ascii="Book Antiqua" w:hAnsi="Book Antiqua"/>
        </w:rPr>
        <w:t xml:space="preserve">). </w:t>
      </w:r>
    </w:p>
    <w:p w14:paraId="5CB79C54" w14:textId="77777777" w:rsidR="005D422C" w:rsidRDefault="005D422C"/>
    <w:p w14:paraId="78349DFC" w14:textId="77777777" w:rsidR="00E743C7" w:rsidRPr="00F03C85" w:rsidRDefault="007D107D" w:rsidP="00F03C85">
      <w:pPr>
        <w:jc w:val="both"/>
        <w:rPr>
          <w:rFonts w:ascii="Book Antiqua" w:hAnsi="Book Antiqua"/>
        </w:rPr>
      </w:pPr>
      <w:r w:rsidRPr="00F03C85">
        <w:rPr>
          <w:rFonts w:ascii="Book Antiqua" w:hAnsi="Book Antiqua"/>
        </w:rPr>
        <w:t xml:space="preserve">El escepticismo nos implanta inmediatamente ante las exigencias que la racionalidad misma se impone. No podemos pensar en una metafísica despreocupada , sin más: </w:t>
      </w:r>
    </w:p>
    <w:p w14:paraId="5F3DF0AB" w14:textId="77777777" w:rsidR="00E743C7" w:rsidRPr="00F03C85" w:rsidRDefault="00E743C7" w:rsidP="00F03C85">
      <w:pPr>
        <w:jc w:val="both"/>
        <w:rPr>
          <w:rFonts w:ascii="Book Antiqua" w:hAnsi="Book Antiqua"/>
        </w:rPr>
      </w:pPr>
    </w:p>
    <w:p w14:paraId="10C9C5B1" w14:textId="159DBBE5" w:rsidR="007D107D" w:rsidRPr="00F03C85" w:rsidRDefault="007D107D" w:rsidP="00F03C85">
      <w:pPr>
        <w:jc w:val="both"/>
        <w:rPr>
          <w:rFonts w:ascii="Book Antiqua" w:hAnsi="Book Antiqua"/>
        </w:rPr>
      </w:pPr>
      <w:r w:rsidRPr="00F03C85">
        <w:rPr>
          <w:rFonts w:ascii="Book Antiqua" w:hAnsi="Book Antiqua"/>
          <w:i/>
        </w:rPr>
        <w:t>“La voluntad cognitiva propia de la racionalidad no es un modelo más que podamos desechar a nuestro arbitrio, es decir, que las exigencias de la razón, ineludibles, constituyen, no un aspecto opcional en nuestras vidas o una simple interpretación, sino un dato bruto.”</w:t>
      </w:r>
      <w:r w:rsidRPr="00F03C85">
        <w:rPr>
          <w:rFonts w:ascii="Book Antiqua" w:hAnsi="Book Antiqua"/>
        </w:rPr>
        <w:t xml:space="preserve"> (Gómez, 2010: 300). </w:t>
      </w:r>
    </w:p>
    <w:p w14:paraId="74EC5AD0" w14:textId="10CA23BC" w:rsidR="0007578C" w:rsidRPr="00F03C85" w:rsidRDefault="0007578C" w:rsidP="00F03C85">
      <w:pPr>
        <w:jc w:val="both"/>
        <w:rPr>
          <w:rFonts w:ascii="Book Antiqua" w:hAnsi="Book Antiqua"/>
        </w:rPr>
      </w:pPr>
    </w:p>
    <w:p w14:paraId="7FC2B4F7" w14:textId="1B5C8DB4" w:rsidR="007D107D" w:rsidRPr="00F03C85" w:rsidRDefault="00F03C85" w:rsidP="00F03C85">
      <w:pPr>
        <w:jc w:val="both"/>
        <w:rPr>
          <w:rFonts w:ascii="Book Antiqua" w:hAnsi="Book Antiqua"/>
        </w:rPr>
      </w:pPr>
      <w:r w:rsidRPr="00F03C85">
        <w:rPr>
          <w:rFonts w:ascii="Book Antiqua" w:hAnsi="Book Antiqua"/>
        </w:rPr>
        <w:t xml:space="preserve">En resumen, dado que la racionalidad responde a sí misma, a su propia racionalidad, corresponde a la razón determinar sus aspiraciones sustantivas. Además, el método no puede aplicarse a sí mismo, y por ello, requiere una justificación externa. Los límites del mismo afirman la presión racional que implica una reintroducción epistemológica evaluativa. </w:t>
      </w:r>
    </w:p>
    <w:p w14:paraId="46138189" w14:textId="77777777" w:rsidR="00F03C85" w:rsidRDefault="00F03C85"/>
    <w:p w14:paraId="166E2A61" w14:textId="6FBA382B" w:rsidR="00F03C85" w:rsidRPr="00FF21AF" w:rsidRDefault="00F03C85" w:rsidP="00FF21AF">
      <w:pPr>
        <w:jc w:val="both"/>
        <w:rPr>
          <w:rFonts w:ascii="Book Antiqua" w:hAnsi="Book Antiqua"/>
        </w:rPr>
      </w:pPr>
      <w:r w:rsidRPr="00FF21AF">
        <w:rPr>
          <w:rFonts w:ascii="Book Antiqua" w:hAnsi="Book Antiqua"/>
        </w:rPr>
        <w:t xml:space="preserve">Finalmente, ante este estado de cosas, al autor admite con ciertas restricciones, la noción de un tercer Wittgenstein, acuñada por Stroll y Moyac-Sharrock. </w:t>
      </w:r>
      <w:r w:rsidR="00590FA3" w:rsidRPr="00FF21AF">
        <w:rPr>
          <w:rFonts w:ascii="Book Antiqua" w:hAnsi="Book Antiqua"/>
        </w:rPr>
        <w:t>Piensa que es audita si se le quietan cierto tipo de acentos a un nuevo giro en su pensamiento, y más bien  si se piensa como</w:t>
      </w:r>
      <w:r w:rsidR="007707A2">
        <w:rPr>
          <w:rFonts w:ascii="Book Antiqua" w:hAnsi="Book Antiqua"/>
        </w:rPr>
        <w:t xml:space="preserve"> </w:t>
      </w:r>
      <w:r w:rsidR="00590FA3" w:rsidRPr="00FF21AF">
        <w:rPr>
          <w:rFonts w:ascii="Book Antiqua" w:hAnsi="Book Antiqua"/>
        </w:rPr>
        <w:t xml:space="preserve">un peculiar discurso del método ante la presión que ejerce la </w:t>
      </w:r>
      <w:r w:rsidR="00FF21AF" w:rsidRPr="00FF21AF">
        <w:rPr>
          <w:rFonts w:ascii="Book Antiqua" w:hAnsi="Book Antiqua"/>
        </w:rPr>
        <w:t>racionalidad so</w:t>
      </w:r>
      <w:r w:rsidR="00590FA3" w:rsidRPr="00FF21AF">
        <w:rPr>
          <w:rFonts w:ascii="Book Antiqua" w:hAnsi="Book Antiqua"/>
        </w:rPr>
        <w:t>bre el método de la terapia . Afirma Gómez para concluir:</w:t>
      </w:r>
    </w:p>
    <w:p w14:paraId="30428BA5" w14:textId="77777777" w:rsidR="00590FA3" w:rsidRPr="00FF21AF" w:rsidRDefault="00590FA3" w:rsidP="00FF21AF">
      <w:pPr>
        <w:jc w:val="both"/>
        <w:rPr>
          <w:rFonts w:ascii="Book Antiqua" w:hAnsi="Book Antiqua"/>
        </w:rPr>
      </w:pPr>
    </w:p>
    <w:p w14:paraId="4E681520" w14:textId="00695374" w:rsidR="00590FA3" w:rsidRPr="00FF21AF" w:rsidRDefault="00590FA3" w:rsidP="00FF21AF">
      <w:pPr>
        <w:jc w:val="both"/>
        <w:rPr>
          <w:rFonts w:ascii="Book Antiqua" w:hAnsi="Book Antiqua"/>
        </w:rPr>
      </w:pPr>
      <w:r w:rsidRPr="00FF21AF">
        <w:rPr>
          <w:rFonts w:ascii="Book Antiqua" w:hAnsi="Book Antiqua"/>
          <w:i/>
        </w:rPr>
        <w:t>“</w:t>
      </w:r>
      <w:r w:rsidR="00FF21AF" w:rsidRPr="00FF21AF">
        <w:rPr>
          <w:rFonts w:ascii="Book Antiqua" w:hAnsi="Book Antiqua"/>
          <w:i/>
        </w:rPr>
        <w:t xml:space="preserve">Por el momento,  me conformo con constatar que en Wittgenstein hay hueco, no sólo para una filosofía autónoma, sino para una filosofía sustantiva”. </w:t>
      </w:r>
      <w:r w:rsidRPr="00FF21AF">
        <w:rPr>
          <w:rFonts w:ascii="Book Antiqua" w:hAnsi="Book Antiqua"/>
        </w:rPr>
        <w:t xml:space="preserve">(Gómez, 2010: 300). </w:t>
      </w:r>
    </w:p>
    <w:p w14:paraId="465BCA80" w14:textId="77777777" w:rsidR="00590FA3" w:rsidRPr="00FF21AF" w:rsidRDefault="00590FA3" w:rsidP="00FF21AF">
      <w:pPr>
        <w:jc w:val="both"/>
        <w:rPr>
          <w:rFonts w:ascii="Book Antiqua" w:hAnsi="Book Antiqua"/>
        </w:rPr>
      </w:pPr>
    </w:p>
    <w:p w14:paraId="4513A2C9" w14:textId="1A544084" w:rsidR="00590FA3" w:rsidRPr="00FF21AF" w:rsidRDefault="00FF21AF" w:rsidP="00FF21AF">
      <w:pPr>
        <w:jc w:val="both"/>
        <w:rPr>
          <w:rFonts w:ascii="Book Antiqua" w:hAnsi="Book Antiqua"/>
        </w:rPr>
      </w:pPr>
      <w:r w:rsidRPr="00FF21AF">
        <w:rPr>
          <w:rFonts w:ascii="Book Antiqua" w:hAnsi="Book Antiqua"/>
        </w:rPr>
        <w:t xml:space="preserve">Al parecer el futuro de la filosofía después de Wittgenstein es cierta forma de epistemología. </w:t>
      </w:r>
    </w:p>
    <w:p w14:paraId="758C7D59" w14:textId="77777777" w:rsidR="00590FA3" w:rsidRPr="00FF21AF" w:rsidRDefault="00590FA3" w:rsidP="00FF21AF">
      <w:pPr>
        <w:jc w:val="both"/>
        <w:rPr>
          <w:rFonts w:ascii="Book Antiqua" w:hAnsi="Book Antiqua"/>
        </w:rPr>
      </w:pPr>
    </w:p>
    <w:sectPr w:rsidR="00590FA3" w:rsidRPr="00FF21AF"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D03"/>
    <w:rsid w:val="0007578C"/>
    <w:rsid w:val="001E5E1A"/>
    <w:rsid w:val="00240245"/>
    <w:rsid w:val="002C1D03"/>
    <w:rsid w:val="003B1868"/>
    <w:rsid w:val="00561F21"/>
    <w:rsid w:val="00590FA3"/>
    <w:rsid w:val="005D422C"/>
    <w:rsid w:val="007707A2"/>
    <w:rsid w:val="007D107D"/>
    <w:rsid w:val="00963694"/>
    <w:rsid w:val="009D21F7"/>
    <w:rsid w:val="00C418B0"/>
    <w:rsid w:val="00C74975"/>
    <w:rsid w:val="00C75983"/>
    <w:rsid w:val="00CC2E2E"/>
    <w:rsid w:val="00E668A9"/>
    <w:rsid w:val="00E743C7"/>
    <w:rsid w:val="00F03C85"/>
    <w:rsid w:val="00FF21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B68BF"/>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715</Words>
  <Characters>3935</Characters>
  <Application>Microsoft Office Word</Application>
  <DocSecurity>0</DocSecurity>
  <Lines>32</Lines>
  <Paragraphs>9</Paragraphs>
  <ScaleCrop>false</ScaleCrop>
  <Company>Familia Fonseca Vega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15</cp:revision>
  <dcterms:created xsi:type="dcterms:W3CDTF">2015-11-30T21:22:00Z</dcterms:created>
  <dcterms:modified xsi:type="dcterms:W3CDTF">2023-11-24T16:28:00Z</dcterms:modified>
</cp:coreProperties>
</file>