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91E4" w14:textId="77777777" w:rsidR="00955872" w:rsidRDefault="00000000">
      <w:pPr>
        <w:pStyle w:val="Ttulo1"/>
        <w:spacing w:before="79" w:line="237" w:lineRule="auto"/>
        <w:ind w:left="557" w:right="706" w:firstLine="0"/>
        <w:jc w:val="center"/>
        <w:rPr>
          <w:sz w:val="16"/>
        </w:rPr>
      </w:pPr>
      <w:bookmarkStart w:id="0" w:name="_Hlk132897681"/>
      <w:r>
        <w:t>La</w:t>
      </w:r>
      <w:r>
        <w:rPr>
          <w:spacing w:val="-3"/>
        </w:rPr>
        <w:t xml:space="preserve"> </w:t>
      </w:r>
      <w:r>
        <w:t>existencia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costumbre mercantil</w:t>
      </w:r>
      <w:r>
        <w:rPr>
          <w:spacing w:val="-2"/>
        </w:rPr>
        <w:t xml:space="preserve"> </w:t>
      </w:r>
      <w:r>
        <w:t>del giro,</w:t>
      </w:r>
      <w:r>
        <w:rPr>
          <w:spacing w:val="-2"/>
        </w:rPr>
        <w:t xml:space="preserve"> </w:t>
      </w:r>
      <w:r>
        <w:t>otorgamiento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aceptación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facturas</w:t>
      </w:r>
      <w:r>
        <w:rPr>
          <w:spacing w:val="-64"/>
        </w:rPr>
        <w:t xml:space="preserve"> </w:t>
      </w:r>
      <w:r>
        <w:t>como prueba y título valor exigible de la obligación de la compra y venta por mayor de</w:t>
      </w:r>
      <w:r>
        <w:rPr>
          <w:spacing w:val="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agroquímicos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comercial floricultor</w:t>
      </w:r>
      <w:r>
        <w:rPr>
          <w:position w:val="8"/>
          <w:sz w:val="16"/>
        </w:rPr>
        <w:t>1</w:t>
      </w:r>
    </w:p>
    <w:p w14:paraId="094AB63E" w14:textId="77777777" w:rsidR="00955872" w:rsidRDefault="00955872">
      <w:pPr>
        <w:pStyle w:val="Textoindependiente"/>
        <w:rPr>
          <w:rFonts w:ascii="Arial"/>
          <w:b/>
          <w:sz w:val="28"/>
        </w:rPr>
      </w:pPr>
    </w:p>
    <w:p w14:paraId="123E16E8" w14:textId="77777777" w:rsidR="00955872" w:rsidRDefault="00955872">
      <w:pPr>
        <w:pStyle w:val="Textoindependiente"/>
        <w:rPr>
          <w:rFonts w:ascii="Arial"/>
          <w:b/>
        </w:rPr>
      </w:pPr>
    </w:p>
    <w:p w14:paraId="73018677" w14:textId="77777777" w:rsidR="00955872" w:rsidRDefault="00000000">
      <w:pPr>
        <w:spacing w:before="1"/>
        <w:ind w:left="1982" w:right="376" w:firstLine="5464"/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Mònica Maria Fuentes Mancipe</w:t>
      </w:r>
      <w:r>
        <w:rPr>
          <w:rFonts w:ascii="Arial" w:hAnsi="Arial"/>
          <w:i/>
          <w:position w:val="7"/>
          <w:sz w:val="16"/>
        </w:rPr>
        <w:t>2</w:t>
      </w:r>
      <w:r>
        <w:rPr>
          <w:rFonts w:ascii="Arial" w:hAnsi="Arial"/>
          <w:i/>
          <w:spacing w:val="-42"/>
          <w:position w:val="7"/>
          <w:sz w:val="16"/>
        </w:rPr>
        <w:t xml:space="preserve"> </w:t>
      </w:r>
      <w:r>
        <w:rPr>
          <w:rFonts w:ascii="Arial" w:hAnsi="Arial"/>
          <w:i/>
          <w:spacing w:val="-1"/>
          <w:sz w:val="24"/>
        </w:rPr>
        <w:t>Maira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Bonilla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González,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Eros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Nazekh</w:t>
      </w:r>
      <w:r>
        <w:rPr>
          <w:rFonts w:ascii="Arial" w:hAnsi="Arial"/>
          <w:i/>
          <w:sz w:val="24"/>
        </w:rPr>
        <w:t xml:space="preserve"> Salcedo,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Laverde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z w:val="24"/>
        </w:rPr>
        <w:t>Said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Jesús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Gómez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Dau</w:t>
      </w:r>
      <w:r>
        <w:rPr>
          <w:rFonts w:ascii="Arial" w:hAnsi="Arial"/>
          <w:i/>
          <w:position w:val="7"/>
          <w:sz w:val="16"/>
        </w:rPr>
        <w:t>3</w:t>
      </w:r>
    </w:p>
    <w:p w14:paraId="1C906850" w14:textId="77777777" w:rsidR="00955872" w:rsidRDefault="00955872">
      <w:pPr>
        <w:pStyle w:val="Textoindependiente"/>
        <w:rPr>
          <w:rFonts w:ascii="Arial"/>
          <w:i/>
          <w:sz w:val="26"/>
        </w:rPr>
      </w:pPr>
    </w:p>
    <w:p w14:paraId="6AFE79E2" w14:textId="77777777" w:rsidR="00955872" w:rsidRDefault="00955872">
      <w:pPr>
        <w:pStyle w:val="Textoindependiente"/>
        <w:spacing w:before="11"/>
        <w:rPr>
          <w:rFonts w:ascii="Arial"/>
          <w:i/>
          <w:sz w:val="35"/>
        </w:rPr>
      </w:pPr>
    </w:p>
    <w:p w14:paraId="3F96D57A" w14:textId="77777777" w:rsidR="00955872" w:rsidRDefault="00000000">
      <w:pPr>
        <w:pStyle w:val="Textoindependiente"/>
        <w:spacing w:line="237" w:lineRule="auto"/>
        <w:ind w:left="249" w:right="394"/>
        <w:jc w:val="both"/>
      </w:pPr>
      <w:r>
        <w:t>En Bogotá D.C.</w:t>
      </w:r>
      <w:r>
        <w:rPr>
          <w:spacing w:val="1"/>
        </w:rPr>
        <w:t xml:space="preserve"> </w:t>
      </w:r>
      <w:r>
        <w:t>y en los municipios aledaños</w:t>
      </w:r>
      <w:r>
        <w:rPr>
          <w:spacing w:val="1"/>
        </w:rPr>
        <w:t xml:space="preserve"> </w:t>
      </w:r>
      <w:r>
        <w:t>de la Jurisdicción de la Cámara de Comercio de</w:t>
      </w:r>
      <w:r>
        <w:rPr>
          <w:spacing w:val="1"/>
        </w:rPr>
        <w:t xml:space="preserve"> </w:t>
      </w:r>
      <w:r>
        <w:t>Bogotá</w:t>
      </w:r>
      <w:r>
        <w:rPr>
          <w:position w:val="8"/>
          <w:sz w:val="16"/>
        </w:rPr>
        <w:t>4</w:t>
      </w:r>
      <w:r>
        <w:rPr>
          <w:spacing w:val="1"/>
          <w:position w:val="8"/>
          <w:sz w:val="16"/>
        </w:rPr>
        <w:t xml:space="preserve"> </w:t>
      </w:r>
      <w:r>
        <w:t>en el sector comercial floricultor existe la costumbre mercantil</w:t>
      </w:r>
      <w:r>
        <w:rPr>
          <w:spacing w:val="1"/>
        </w:rPr>
        <w:t xml:space="preserve"> </w:t>
      </w:r>
      <w:r>
        <w:t>del giro, otorgamiento y</w:t>
      </w:r>
      <w:r>
        <w:rPr>
          <w:spacing w:val="1"/>
        </w:rPr>
        <w:t xml:space="preserve"> </w:t>
      </w:r>
      <w:r>
        <w:t>aceptación de facturas como prueba y título valor exigible de la obligación de la compra y venta por</w:t>
      </w:r>
      <w:r>
        <w:rPr>
          <w:spacing w:val="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agroquímicos como medio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financiación.</w:t>
      </w:r>
    </w:p>
    <w:p w14:paraId="18888543" w14:textId="62F97147" w:rsidR="00955872" w:rsidRDefault="00000000">
      <w:pPr>
        <w:pStyle w:val="Textoindependiente"/>
        <w:spacing w:before="165"/>
        <w:ind w:left="249" w:right="299"/>
        <w:jc w:val="both"/>
      </w:pPr>
      <w:r>
        <w:t>La anterior afirmación en virtud de que esta costumbre, la constituyen aquellos hechos que se</w:t>
      </w:r>
      <w:r>
        <w:rPr>
          <w:spacing w:val="1"/>
        </w:rPr>
        <w:t xml:space="preserve"> </w:t>
      </w:r>
      <w:r>
        <w:t>ejecutan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constante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repetitiva</w:t>
      </w:r>
      <w:r>
        <w:rPr>
          <w:spacing w:val="6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comercializadores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productos</w:t>
      </w:r>
      <w:r>
        <w:rPr>
          <w:spacing w:val="-5"/>
        </w:rPr>
        <w:t xml:space="preserve"> </w:t>
      </w:r>
      <w:r>
        <w:t>agroquímicos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dedican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explotar</w:t>
      </w:r>
      <w:r>
        <w:rPr>
          <w:spacing w:val="1"/>
        </w:rPr>
        <w:t xml:space="preserve"> </w:t>
      </w:r>
      <w:r>
        <w:t>económicamente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83692">
        <w:t>enajenación,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giro,</w:t>
      </w:r>
      <w:r>
        <w:rPr>
          <w:spacing w:val="1"/>
        </w:rPr>
        <w:t xml:space="preserve"> </w:t>
      </w:r>
      <w:r>
        <w:t>otorgamiento y aceptación de facturas como medio de financiación de los comerciantes agricultores</w:t>
      </w:r>
      <w:r>
        <w:rPr>
          <w:spacing w:val="1"/>
        </w:rPr>
        <w:t xml:space="preserve"> </w:t>
      </w:r>
      <w:r>
        <w:t>que requieren productos agroquímicos. Para tales efectos, esta práctica constituye una costumbre</w:t>
      </w:r>
      <w:r>
        <w:rPr>
          <w:spacing w:val="1"/>
        </w:rPr>
        <w:t xml:space="preserve"> </w:t>
      </w:r>
      <w:r>
        <w:t>mercantil toda vez que esta hace referencia al conjunto de prácticas realizadas por comerciantes 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sector de</w:t>
      </w:r>
      <w:r>
        <w:rPr>
          <w:spacing w:val="-2"/>
        </w:rPr>
        <w:t xml:space="preserve"> </w:t>
      </w:r>
      <w:r>
        <w:t>manera uniforme, reiterada y</w:t>
      </w:r>
      <w:r>
        <w:rPr>
          <w:spacing w:val="-2"/>
        </w:rPr>
        <w:t xml:space="preserve"> </w:t>
      </w:r>
      <w:r>
        <w:t>pública.</w:t>
      </w:r>
    </w:p>
    <w:p w14:paraId="486D09F2" w14:textId="6F1FD908" w:rsidR="00955872" w:rsidRDefault="00000000">
      <w:pPr>
        <w:pStyle w:val="Textoindependiente"/>
        <w:spacing w:before="162"/>
        <w:ind w:left="249" w:right="299"/>
        <w:jc w:val="both"/>
      </w:pPr>
      <w:r>
        <w:t xml:space="preserve">Ahora bien, la </w:t>
      </w:r>
      <w:r>
        <w:rPr>
          <w:rFonts w:ascii="Arial" w:hAnsi="Arial"/>
          <w:b/>
          <w:u w:val="thick"/>
        </w:rPr>
        <w:t xml:space="preserve">mercantilidad de la práctica </w:t>
      </w:r>
      <w:r>
        <w:t>de esta costumbre propuesta radica en los actos de</w:t>
      </w:r>
      <w:r>
        <w:rPr>
          <w:spacing w:val="1"/>
        </w:rPr>
        <w:t xml:space="preserve"> </w:t>
      </w:r>
      <w:r>
        <w:t>comercio relativos a la adquisición de</w:t>
      </w:r>
      <w:r>
        <w:rPr>
          <w:spacing w:val="1"/>
        </w:rPr>
        <w:t xml:space="preserve"> </w:t>
      </w:r>
      <w:r>
        <w:t>bienes a título oneroso con destino a ser enajenados y como</w:t>
      </w:r>
      <w:r>
        <w:rPr>
          <w:spacing w:val="1"/>
        </w:rPr>
        <w:t xml:space="preserve"> </w:t>
      </w:r>
      <w:r>
        <w:t>prueba de ello, al giro, otorgamiento, aceptación, garantía o negociación de</w:t>
      </w:r>
      <w:r>
        <w:rPr>
          <w:spacing w:val="1"/>
        </w:rPr>
        <w:t xml:space="preserve"> </w:t>
      </w:r>
      <w:r>
        <w:t>facturas que constan la</w:t>
      </w:r>
      <w:r>
        <w:rPr>
          <w:spacing w:val="1"/>
        </w:rPr>
        <w:t xml:space="preserve"> </w:t>
      </w:r>
      <w:r>
        <w:t>enajenación y que al mismo tiempo cumplen la función de un título valor que respalda la financiación</w:t>
      </w:r>
      <w:r>
        <w:rPr>
          <w:spacing w:val="-64"/>
        </w:rPr>
        <w:t xml:space="preserve"> </w:t>
      </w:r>
      <w:r>
        <w:t>de estos productos en términos superiores a los establecidos en la norma ( 30 días) de acuerdo a su</w:t>
      </w:r>
      <w:r>
        <w:rPr>
          <w:spacing w:val="-64"/>
        </w:rPr>
        <w:t xml:space="preserve"> </w:t>
      </w:r>
      <w:r>
        <w:t>solvencia económica.</w:t>
      </w:r>
      <w:r>
        <w:rPr>
          <w:spacing w:val="1"/>
        </w:rPr>
        <w:t xml:space="preserve"> </w:t>
      </w:r>
      <w:r>
        <w:t>Frente a</w:t>
      </w:r>
      <w:r>
        <w:rPr>
          <w:spacing w:val="1"/>
        </w:rPr>
        <w:t xml:space="preserve"> </w:t>
      </w:r>
      <w:r>
        <w:t>los efectos de estos actos de comercio el cumplimiento de las</w:t>
      </w:r>
      <w:r>
        <w:rPr>
          <w:spacing w:val="1"/>
        </w:rPr>
        <w:t xml:space="preserve"> </w:t>
      </w:r>
      <w:r>
        <w:t>obligaciones</w:t>
      </w:r>
      <w:r>
        <w:rPr>
          <w:spacing w:val="29"/>
        </w:rPr>
        <w:t xml:space="preserve"> </w:t>
      </w:r>
      <w:r>
        <w:t>contenidas</w:t>
      </w:r>
      <w:r>
        <w:rPr>
          <w:spacing w:val="29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factura</w:t>
      </w:r>
      <w:r>
        <w:rPr>
          <w:spacing w:val="30"/>
        </w:rPr>
        <w:t xml:space="preserve"> </w:t>
      </w:r>
      <w:r>
        <w:t>como</w:t>
      </w:r>
      <w:r>
        <w:rPr>
          <w:spacing w:val="30"/>
        </w:rPr>
        <w:t xml:space="preserve"> </w:t>
      </w:r>
      <w:r w:rsidR="00083692">
        <w:t>título</w:t>
      </w:r>
      <w:r>
        <w:rPr>
          <w:spacing w:val="30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practicas</w:t>
      </w:r>
      <w:r>
        <w:rPr>
          <w:spacing w:val="27"/>
        </w:rPr>
        <w:t xml:space="preserve"> </w:t>
      </w:r>
      <w:r>
        <w:t>mercantiles</w:t>
      </w:r>
      <w:r>
        <w:rPr>
          <w:spacing w:val="58"/>
        </w:rPr>
        <w:t xml:space="preserve"> </w:t>
      </w:r>
      <w:r>
        <w:t>mas</w:t>
      </w:r>
    </w:p>
    <w:p w14:paraId="1A236202" w14:textId="77777777" w:rsidR="00955872" w:rsidRDefault="00955872">
      <w:pPr>
        <w:pStyle w:val="Textoindependiente"/>
        <w:rPr>
          <w:sz w:val="20"/>
        </w:rPr>
      </w:pPr>
    </w:p>
    <w:p w14:paraId="5A739914" w14:textId="77777777" w:rsidR="00955872" w:rsidRDefault="00955872">
      <w:pPr>
        <w:pStyle w:val="Textoindependiente"/>
        <w:rPr>
          <w:sz w:val="20"/>
        </w:rPr>
      </w:pPr>
    </w:p>
    <w:p w14:paraId="1FC47081" w14:textId="77777777" w:rsidR="00955872" w:rsidRDefault="00955872">
      <w:pPr>
        <w:pStyle w:val="Textoindependiente"/>
        <w:rPr>
          <w:sz w:val="20"/>
        </w:rPr>
      </w:pPr>
    </w:p>
    <w:p w14:paraId="4E1CCF57" w14:textId="77777777" w:rsidR="00955872" w:rsidRDefault="00955872">
      <w:pPr>
        <w:pStyle w:val="Textoindependiente"/>
        <w:rPr>
          <w:sz w:val="20"/>
        </w:rPr>
      </w:pPr>
    </w:p>
    <w:p w14:paraId="424B2B93" w14:textId="65565420" w:rsidR="00955872" w:rsidRDefault="0026394A">
      <w:pPr>
        <w:pStyle w:val="Textoindependiente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101732" wp14:editId="1276743F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828800" cy="8890"/>
                <wp:effectExtent l="0" t="0" r="0" b="0"/>
                <wp:wrapTopAndBottom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75DA" id="Rectangle 28" o:spid="_x0000_s1026" style="position:absolute;margin-left:85.1pt;margin-top:12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l8bjz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8D3809D" w14:textId="7225A92E" w:rsidR="00955872" w:rsidRDefault="00000000">
      <w:pPr>
        <w:spacing w:before="76" w:line="237" w:lineRule="auto"/>
        <w:ind w:left="535" w:right="252" w:hanging="28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 w:rsidR="00083692"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Producto resultado de investigación del semillero de investigación In Commerce True</w:t>
      </w:r>
      <w:r>
        <w:rPr>
          <w:spacing w:val="1"/>
          <w:sz w:val="20"/>
        </w:rPr>
        <w:t xml:space="preserve"> </w:t>
      </w:r>
      <w:r>
        <w:rPr>
          <w:sz w:val="20"/>
        </w:rPr>
        <w:t>de la Universidad La Gran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Colombia líder: </w:t>
      </w:r>
      <w:r w:rsidR="00083692">
        <w:rPr>
          <w:sz w:val="20"/>
        </w:rPr>
        <w:t>Mónica</w:t>
      </w:r>
      <w:r>
        <w:rPr>
          <w:sz w:val="20"/>
        </w:rPr>
        <w:t xml:space="preserve"> </w:t>
      </w:r>
      <w:r w:rsidR="00083692">
        <w:rPr>
          <w:sz w:val="20"/>
        </w:rPr>
        <w:t>María</w:t>
      </w:r>
      <w:r>
        <w:rPr>
          <w:sz w:val="20"/>
        </w:rPr>
        <w:t xml:space="preserve"> Fuentes Mancipe- ensayo de participación en el tercer concurso de costumbre mercantil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cámara de</w:t>
      </w:r>
      <w:r>
        <w:rPr>
          <w:spacing w:val="-1"/>
          <w:sz w:val="20"/>
        </w:rPr>
        <w:t xml:space="preserve"> </w:t>
      </w:r>
      <w:r>
        <w:rPr>
          <w:sz w:val="20"/>
        </w:rPr>
        <w:t>comercio</w:t>
      </w:r>
      <w:r>
        <w:rPr>
          <w:spacing w:val="1"/>
          <w:sz w:val="20"/>
        </w:rPr>
        <w:t xml:space="preserve"> </w:t>
      </w:r>
      <w:r>
        <w:rPr>
          <w:sz w:val="20"/>
        </w:rPr>
        <w:t>de Bogotá,</w:t>
      </w:r>
      <w:r>
        <w:rPr>
          <w:spacing w:val="1"/>
          <w:sz w:val="20"/>
        </w:rPr>
        <w:t xml:space="preserve"> </w:t>
      </w:r>
      <w:r>
        <w:rPr>
          <w:sz w:val="20"/>
        </w:rPr>
        <w:t>2023.</w:t>
      </w:r>
      <w:r w:rsidR="00083692">
        <w:rPr>
          <w:sz w:val="20"/>
        </w:rPr>
        <w:t xml:space="preserve">- BORRADOR PRELIMINAR </w:t>
      </w:r>
    </w:p>
    <w:p w14:paraId="44F9FB8C" w14:textId="71714E5E" w:rsidR="00955872" w:rsidRDefault="00000000">
      <w:pPr>
        <w:spacing w:before="4"/>
        <w:ind w:left="535" w:right="250" w:hanging="28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1"/>
          <w:sz w:val="20"/>
        </w:rPr>
        <w:t xml:space="preserve"> </w:t>
      </w:r>
      <w:r w:rsidR="00083692"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</w:t>
      </w:r>
      <w:r>
        <w:rPr>
          <w:sz w:val="20"/>
        </w:rPr>
        <w:t>octoranda en derecho romano, teoría de los ordenamientos y derecho privado del mercado. Magister en Derecho</w:t>
      </w:r>
      <w:r>
        <w:rPr>
          <w:spacing w:val="1"/>
          <w:sz w:val="20"/>
        </w:rPr>
        <w:t xml:space="preserve"> </w:t>
      </w:r>
      <w:r>
        <w:rPr>
          <w:sz w:val="20"/>
        </w:rPr>
        <w:t>comercial Internacional de la Universidad Sapienza de Roma y Especialista en Derecho Comercial de la 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externado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Colombia.</w:t>
      </w:r>
      <w:r>
        <w:rPr>
          <w:spacing w:val="1"/>
          <w:sz w:val="20"/>
        </w:rPr>
        <w:t xml:space="preserve"> </w:t>
      </w:r>
      <w:r>
        <w:rPr>
          <w:sz w:val="20"/>
        </w:rPr>
        <w:t>Profesor</w:t>
      </w:r>
      <w:r>
        <w:rPr>
          <w:spacing w:val="1"/>
          <w:sz w:val="20"/>
        </w:rPr>
        <w:t xml:space="preserve"> </w:t>
      </w:r>
      <w:r>
        <w:rPr>
          <w:sz w:val="20"/>
        </w:rPr>
        <w:t>Investigador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Gran</w:t>
      </w:r>
      <w:r>
        <w:rPr>
          <w:spacing w:val="1"/>
          <w:sz w:val="20"/>
        </w:rPr>
        <w:t xml:space="preserve"> </w:t>
      </w:r>
      <w:r>
        <w:rPr>
          <w:sz w:val="20"/>
        </w:rPr>
        <w:t>Colombia.</w:t>
      </w:r>
      <w:r>
        <w:rPr>
          <w:spacing w:val="1"/>
          <w:sz w:val="20"/>
        </w:rPr>
        <w:t xml:space="preserve"> </w:t>
      </w:r>
      <w:r>
        <w:rPr>
          <w:sz w:val="20"/>
        </w:rPr>
        <w:t>Contacto:</w:t>
      </w:r>
      <w:r>
        <w:rPr>
          <w:spacing w:val="1"/>
          <w:sz w:val="20"/>
        </w:rPr>
        <w:t xml:space="preserve"> </w:t>
      </w:r>
      <w:r>
        <w:rPr>
          <w:sz w:val="20"/>
        </w:rPr>
        <w:t>monica.</w:t>
      </w:r>
      <w:r>
        <w:rPr>
          <w:spacing w:val="1"/>
          <w:sz w:val="20"/>
        </w:rPr>
        <w:t xml:space="preserve"> </w:t>
      </w:r>
      <w:hyperlink r:id="rId5">
        <w:r>
          <w:rPr>
            <w:sz w:val="20"/>
          </w:rPr>
          <w:t>fuentes@ugc.edu.co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ORCID:</w:t>
      </w:r>
      <w:r>
        <w:rPr>
          <w:spacing w:val="-1"/>
          <w:sz w:val="20"/>
        </w:rPr>
        <w:t xml:space="preserve"> </w:t>
      </w:r>
      <w:r>
        <w:rPr>
          <w:sz w:val="20"/>
        </w:rPr>
        <w:t>0000-0002-3695-8144.</w:t>
      </w:r>
    </w:p>
    <w:p w14:paraId="45341502" w14:textId="60B0CDD2" w:rsidR="00955872" w:rsidRDefault="00000000">
      <w:pPr>
        <w:ind w:left="535" w:right="253" w:hanging="28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1"/>
          <w:sz w:val="20"/>
        </w:rPr>
        <w:t xml:space="preserve"> </w:t>
      </w:r>
      <w:r w:rsidR="00083692">
        <w:rPr>
          <w:rFonts w:ascii="Calibri" w:hAnsi="Calibri"/>
          <w:spacing w:val="1"/>
          <w:sz w:val="20"/>
        </w:rPr>
        <w:t xml:space="preserve">  </w:t>
      </w:r>
      <w:r>
        <w:rPr>
          <w:sz w:val="20"/>
        </w:rPr>
        <w:t>Estudiantes de pregrado de la facultad de derecho de la Universidad la gran Colombia, pertenecientes del semillero de</w:t>
      </w:r>
      <w:r>
        <w:rPr>
          <w:spacing w:val="-53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Commerce</w:t>
      </w:r>
      <w:r>
        <w:rPr>
          <w:spacing w:val="1"/>
          <w:sz w:val="20"/>
        </w:rPr>
        <w:t xml:space="preserve"> </w:t>
      </w:r>
      <w:r>
        <w:rPr>
          <w:sz w:val="20"/>
        </w:rPr>
        <w:t>True</w:t>
      </w:r>
    </w:p>
    <w:p w14:paraId="7A16BDD2" w14:textId="7766F5C8" w:rsidR="00955872" w:rsidRDefault="00000000">
      <w:pPr>
        <w:ind w:left="535" w:right="254" w:hanging="28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1"/>
          <w:sz w:val="20"/>
        </w:rPr>
        <w:t xml:space="preserve"> </w:t>
      </w:r>
      <w:r w:rsidR="00083692">
        <w:rPr>
          <w:rFonts w:ascii="Calibri" w:hAnsi="Calibri"/>
          <w:spacing w:val="1"/>
          <w:sz w:val="20"/>
        </w:rPr>
        <w:t xml:space="preserve">  </w:t>
      </w:r>
      <w:r>
        <w:rPr>
          <w:sz w:val="20"/>
        </w:rPr>
        <w:t>Decreto 1074 de 2015. Artículo 2.2.2.45.8. La Jurisdicción de la Cámara de Comercio de Bogotá. La jurisdicción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Cámara de Comercio de Bogotá comprende los municipios de Bogotá, Arbeláez, Cabrera, Cajicá, Cáqueza, Carmen</w:t>
      </w:r>
      <w:r>
        <w:rPr>
          <w:spacing w:val="1"/>
          <w:sz w:val="20"/>
        </w:rPr>
        <w:t xml:space="preserve"> </w:t>
      </w:r>
      <w:r>
        <w:rPr>
          <w:sz w:val="20"/>
        </w:rPr>
        <w:t>de Garupa, Chía, Chipaque, Choachí, Chocontá, Cogua, Cota, Cucunuba, Fomeque, Fosca, Fúquene, Fusagasugá,</w:t>
      </w:r>
      <w:r>
        <w:rPr>
          <w:spacing w:val="1"/>
          <w:sz w:val="20"/>
        </w:rPr>
        <w:t xml:space="preserve"> </w:t>
      </w:r>
      <w:r>
        <w:rPr>
          <w:sz w:val="20"/>
        </w:rPr>
        <w:t>Gachala, Gachancipá, Gacheta, Gama, Granada, Guachetá, Guasca, Guatavita, Guayabetal, Gutierrez, Junín, La</w:t>
      </w:r>
      <w:r>
        <w:rPr>
          <w:spacing w:val="1"/>
          <w:sz w:val="20"/>
        </w:rPr>
        <w:t xml:space="preserve"> </w:t>
      </w:r>
      <w:r>
        <w:rPr>
          <w:sz w:val="20"/>
        </w:rPr>
        <w:t>Calera, Lenguazaque, Macheta, Manta, Medina, Nemocón, Pandi, Pasea, Quítame, San Bernardo, Sesquilé, Sibaté,</w:t>
      </w:r>
      <w:r>
        <w:rPr>
          <w:spacing w:val="1"/>
          <w:sz w:val="20"/>
        </w:rPr>
        <w:t xml:space="preserve"> </w:t>
      </w:r>
      <w:r>
        <w:rPr>
          <w:sz w:val="20"/>
        </w:rPr>
        <w:t>Silvania, Simijaca, Soacha, Sopo, Suesca, Susa, Sutatausa, Tabio, Tausa, Tenjo, Tibacui, Tibirita Tocancipa, Ubalá,</w:t>
      </w:r>
      <w:r>
        <w:rPr>
          <w:spacing w:val="1"/>
          <w:sz w:val="20"/>
        </w:rPr>
        <w:t xml:space="preserve"> </w:t>
      </w:r>
      <w:r>
        <w:rPr>
          <w:sz w:val="20"/>
        </w:rPr>
        <w:t>Ubaque,</w:t>
      </w:r>
      <w:r>
        <w:rPr>
          <w:spacing w:val="-2"/>
          <w:sz w:val="20"/>
        </w:rPr>
        <w:t xml:space="preserve"> </w:t>
      </w:r>
      <w:r>
        <w:rPr>
          <w:sz w:val="20"/>
        </w:rPr>
        <w:t>Ubaté,</w:t>
      </w:r>
      <w:r>
        <w:rPr>
          <w:spacing w:val="-1"/>
          <w:sz w:val="20"/>
        </w:rPr>
        <w:t xml:space="preserve"> </w:t>
      </w:r>
      <w:r>
        <w:rPr>
          <w:sz w:val="20"/>
        </w:rPr>
        <w:t>Une, Venecia,</w:t>
      </w:r>
      <w:r>
        <w:rPr>
          <w:spacing w:val="-1"/>
          <w:sz w:val="20"/>
        </w:rPr>
        <w:t xml:space="preserve"> </w:t>
      </w:r>
      <w:r>
        <w:rPr>
          <w:sz w:val="20"/>
        </w:rPr>
        <w:t>Villa</w:t>
      </w:r>
      <w:r>
        <w:rPr>
          <w:spacing w:val="1"/>
          <w:sz w:val="20"/>
        </w:rPr>
        <w:t xml:space="preserve"> </w:t>
      </w:r>
      <w:r>
        <w:rPr>
          <w:sz w:val="20"/>
        </w:rPr>
        <w:t>pinzón</w:t>
      </w:r>
      <w:r>
        <w:rPr>
          <w:spacing w:val="-2"/>
          <w:sz w:val="20"/>
        </w:rPr>
        <w:t xml:space="preserve"> </w:t>
      </w:r>
      <w:r>
        <w:rPr>
          <w:sz w:val="20"/>
        </w:rPr>
        <w:t>y Zipaquirá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departamento de</w:t>
      </w:r>
      <w:r>
        <w:rPr>
          <w:spacing w:val="1"/>
          <w:sz w:val="20"/>
        </w:rPr>
        <w:t xml:space="preserve"> </w:t>
      </w:r>
      <w:r>
        <w:rPr>
          <w:sz w:val="20"/>
        </w:rPr>
        <w:t>Cundinamarca.</w:t>
      </w:r>
    </w:p>
    <w:p w14:paraId="557D2829" w14:textId="77777777" w:rsidR="00955872" w:rsidRDefault="00955872">
      <w:pPr>
        <w:jc w:val="both"/>
        <w:rPr>
          <w:sz w:val="20"/>
        </w:rPr>
        <w:sectPr w:rsidR="00955872">
          <w:type w:val="continuous"/>
          <w:pgSz w:w="12240" w:h="15840"/>
          <w:pgMar w:top="1340" w:right="360" w:bottom="280" w:left="600" w:header="720" w:footer="720" w:gutter="0"/>
          <w:cols w:space="720"/>
        </w:sectPr>
      </w:pPr>
    </w:p>
    <w:p w14:paraId="3D7A84F0" w14:textId="77777777" w:rsidR="00955872" w:rsidRDefault="00000000">
      <w:pPr>
        <w:pStyle w:val="Textoindependiente"/>
        <w:spacing w:before="81" w:line="235" w:lineRule="auto"/>
        <w:ind w:left="249" w:right="311"/>
        <w:jc w:val="both"/>
      </w:pPr>
      <w:r>
        <w:lastRenderedPageBreak/>
        <w:t>notarias de la existencia de esta costumbre, ya que es inusual que los comerciantes de este sector</w:t>
      </w:r>
      <w:r>
        <w:rPr>
          <w:spacing w:val="1"/>
        </w:rPr>
        <w:t xml:space="preserve"> </w:t>
      </w:r>
      <w:r>
        <w:t>incumplan</w:t>
      </w:r>
      <w:r>
        <w:rPr>
          <w:spacing w:val="65"/>
        </w:rPr>
        <w:t xml:space="preserve"> </w:t>
      </w:r>
      <w:r>
        <w:t>la obligación</w:t>
      </w:r>
      <w:r>
        <w:rPr>
          <w:spacing w:val="4"/>
        </w:rPr>
        <w:t xml:space="preserve"> </w:t>
      </w:r>
      <w:r>
        <w:t>contenida en el</w:t>
      </w:r>
      <w:r>
        <w:rPr>
          <w:spacing w:val="-3"/>
        </w:rPr>
        <w:t xml:space="preserve"> </w:t>
      </w:r>
      <w:r>
        <w:t>titulo</w:t>
      </w:r>
      <w:r>
        <w:rPr>
          <w:spacing w:val="-2"/>
        </w:rPr>
        <w:t xml:space="preserve"> </w:t>
      </w:r>
      <w:r>
        <w:t>valor</w:t>
      </w:r>
      <w:r>
        <w:rPr>
          <w:position w:val="8"/>
          <w:sz w:val="16"/>
        </w:rPr>
        <w:t>5</w:t>
      </w:r>
      <w:r>
        <w:t>.</w:t>
      </w:r>
    </w:p>
    <w:p w14:paraId="5D6F8F71" w14:textId="77777777" w:rsidR="00955872" w:rsidRDefault="00955872">
      <w:pPr>
        <w:pStyle w:val="Textoindependiente"/>
      </w:pPr>
    </w:p>
    <w:p w14:paraId="1BDECA47" w14:textId="77777777" w:rsidR="00955872" w:rsidRDefault="00955872">
      <w:pPr>
        <w:pStyle w:val="Textoindependiente"/>
        <w:spacing w:before="9"/>
        <w:rPr>
          <w:sz w:val="33"/>
        </w:rPr>
      </w:pPr>
    </w:p>
    <w:p w14:paraId="4D02D2AB" w14:textId="77777777" w:rsidR="00955872" w:rsidRDefault="00000000">
      <w:pPr>
        <w:pStyle w:val="Ttulo1"/>
        <w:spacing w:before="1"/>
        <w:ind w:left="422" w:right="706" w:firstLine="0"/>
        <w:jc w:val="center"/>
      </w:pPr>
      <w:r>
        <w:t>ANEXO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DOCUMENTO</w:t>
      </w:r>
      <w:r>
        <w:rPr>
          <w:spacing w:val="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INVESTIGACION</w:t>
      </w:r>
    </w:p>
    <w:p w14:paraId="0058D1E7" w14:textId="77777777" w:rsidR="00955872" w:rsidRDefault="00955872">
      <w:pPr>
        <w:pStyle w:val="Textoindependiente"/>
        <w:rPr>
          <w:rFonts w:ascii="Arial"/>
          <w:b/>
          <w:sz w:val="26"/>
        </w:rPr>
      </w:pPr>
    </w:p>
    <w:p w14:paraId="6A792DFB" w14:textId="77777777" w:rsidR="00955872" w:rsidRDefault="00955872">
      <w:pPr>
        <w:pStyle w:val="Textoindependiente"/>
        <w:spacing w:before="6"/>
        <w:rPr>
          <w:rFonts w:ascii="Arial"/>
          <w:b/>
          <w:sz w:val="29"/>
        </w:rPr>
      </w:pPr>
    </w:p>
    <w:p w14:paraId="45E5F6B0" w14:textId="77777777" w:rsidR="00955872" w:rsidRDefault="00000000">
      <w:pPr>
        <w:pStyle w:val="Prrafodelista"/>
        <w:numPr>
          <w:ilvl w:val="0"/>
          <w:numId w:val="4"/>
        </w:numPr>
        <w:tabs>
          <w:tab w:val="left" w:pos="611"/>
        </w:tabs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Costumbre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mercantil</w:t>
      </w:r>
    </w:p>
    <w:p w14:paraId="22359382" w14:textId="77777777" w:rsidR="00955872" w:rsidRDefault="00955872">
      <w:pPr>
        <w:pStyle w:val="Textoindependiente"/>
        <w:rPr>
          <w:rFonts w:ascii="Arial"/>
          <w:b/>
          <w:sz w:val="20"/>
        </w:rPr>
      </w:pPr>
    </w:p>
    <w:p w14:paraId="7C68A655" w14:textId="77777777" w:rsidR="00955872" w:rsidRDefault="00955872">
      <w:pPr>
        <w:pStyle w:val="Textoindependiente"/>
        <w:spacing w:before="3"/>
        <w:rPr>
          <w:rFonts w:ascii="Arial"/>
          <w:b/>
          <w:sz w:val="16"/>
        </w:rPr>
      </w:pPr>
    </w:p>
    <w:tbl>
      <w:tblPr>
        <w:tblStyle w:val="TableNormal"/>
        <w:tblW w:w="0" w:type="auto"/>
        <w:tblCellSpacing w:w="4" w:type="dxa"/>
        <w:tblInd w:w="197" w:type="dxa"/>
        <w:tblLayout w:type="fixed"/>
        <w:tblLook w:val="01E0" w:firstRow="1" w:lastRow="1" w:firstColumn="1" w:lastColumn="1" w:noHBand="0" w:noVBand="0"/>
      </w:tblPr>
      <w:tblGrid>
        <w:gridCol w:w="1992"/>
        <w:gridCol w:w="8656"/>
      </w:tblGrid>
      <w:tr w:rsidR="00955872" w14:paraId="28B65522" w14:textId="77777777">
        <w:trPr>
          <w:trHeight w:val="445"/>
          <w:tblCellSpacing w:w="4" w:type="dxa"/>
        </w:trPr>
        <w:tc>
          <w:tcPr>
            <w:tcW w:w="1980" w:type="dxa"/>
            <w:tcBorders>
              <w:bottom w:val="nil"/>
              <w:right w:val="nil"/>
            </w:tcBorders>
            <w:shd w:val="clear" w:color="auto" w:fill="999999"/>
          </w:tcPr>
          <w:p w14:paraId="55C20F5A" w14:textId="77777777" w:rsidR="00955872" w:rsidRDefault="00000000">
            <w:pPr>
              <w:pStyle w:val="TableParagraph"/>
              <w:ind w:left="334" w:right="3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Sector:</w:t>
            </w:r>
          </w:p>
        </w:tc>
        <w:tc>
          <w:tcPr>
            <w:tcW w:w="8644" w:type="dxa"/>
            <w:tcBorders>
              <w:left w:val="nil"/>
              <w:bottom w:val="nil"/>
            </w:tcBorders>
            <w:shd w:val="clear" w:color="auto" w:fill="999999"/>
          </w:tcPr>
          <w:p w14:paraId="10D3CEEF" w14:textId="77777777" w:rsidR="00955872" w:rsidRDefault="00000000">
            <w:pPr>
              <w:pStyle w:val="TableParagraph"/>
              <w:ind w:left="3090" w:right="30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Texto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Para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Certificar:</w:t>
            </w:r>
          </w:p>
        </w:tc>
      </w:tr>
      <w:tr w:rsidR="00955872" w14:paraId="68699F1B" w14:textId="77777777">
        <w:trPr>
          <w:trHeight w:val="1828"/>
          <w:tblCellSpacing w:w="4" w:type="dxa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CCCCCC"/>
          </w:tcPr>
          <w:p w14:paraId="75ECB691" w14:textId="77777777" w:rsidR="00955872" w:rsidRDefault="0095587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524C1E1" w14:textId="77777777" w:rsidR="00955872" w:rsidRDefault="0095587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E2E891D" w14:textId="77777777" w:rsidR="00955872" w:rsidRDefault="00000000">
            <w:pPr>
              <w:pStyle w:val="TableParagraph"/>
              <w:ind w:left="444" w:right="3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Comercial</w:t>
            </w:r>
          </w:p>
        </w:tc>
        <w:tc>
          <w:tcPr>
            <w:tcW w:w="8644" w:type="dxa"/>
            <w:tcBorders>
              <w:top w:val="nil"/>
              <w:left w:val="nil"/>
            </w:tcBorders>
            <w:shd w:val="clear" w:color="auto" w:fill="CCCCCC"/>
          </w:tcPr>
          <w:p w14:paraId="1A4EF61A" w14:textId="77777777" w:rsidR="00955872" w:rsidRDefault="0095587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4411BE" w14:textId="77777777" w:rsidR="00955872" w:rsidRDefault="00000000">
            <w:pPr>
              <w:pStyle w:val="TableParagraph"/>
              <w:ind w:left="115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En Bogotá D.C es una práctica común mercantil el giro, otorgamiento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aceptación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prueba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exigible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obligación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compra y venta por mayor de productos agroquímicos en el sector comercial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floricultor.</w:t>
            </w:r>
          </w:p>
        </w:tc>
      </w:tr>
    </w:tbl>
    <w:p w14:paraId="3709BD07" w14:textId="77777777" w:rsidR="00955872" w:rsidRDefault="00955872">
      <w:pPr>
        <w:pStyle w:val="Textoindependiente"/>
        <w:spacing w:before="8"/>
        <w:rPr>
          <w:rFonts w:ascii="Arial"/>
          <w:b/>
          <w:sz w:val="26"/>
        </w:rPr>
      </w:pPr>
    </w:p>
    <w:p w14:paraId="0BA596CE" w14:textId="77777777" w:rsidR="00955872" w:rsidRDefault="00000000">
      <w:pPr>
        <w:pStyle w:val="Ttulo1"/>
        <w:numPr>
          <w:ilvl w:val="0"/>
          <w:numId w:val="4"/>
        </w:numPr>
        <w:tabs>
          <w:tab w:val="left" w:pos="611"/>
        </w:tabs>
        <w:jc w:val="left"/>
      </w:pPr>
      <w:r>
        <w:t>Propuesta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investigación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existencia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costumbre</w:t>
      </w:r>
      <w:r>
        <w:rPr>
          <w:spacing w:val="-2"/>
        </w:rPr>
        <w:t xml:space="preserve"> </w:t>
      </w:r>
      <w:r>
        <w:t>mercantil</w:t>
      </w:r>
    </w:p>
    <w:p w14:paraId="6A970778" w14:textId="77777777" w:rsidR="00955872" w:rsidRDefault="00000000">
      <w:pPr>
        <w:pStyle w:val="Prrafodelista"/>
        <w:numPr>
          <w:ilvl w:val="1"/>
          <w:numId w:val="4"/>
        </w:numPr>
        <w:tabs>
          <w:tab w:val="left" w:pos="652"/>
        </w:tabs>
        <w:spacing w:before="183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Objetivo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General</w:t>
      </w:r>
    </w:p>
    <w:p w14:paraId="3F066DFF" w14:textId="77777777" w:rsidR="00955872" w:rsidRDefault="00000000">
      <w:pPr>
        <w:pStyle w:val="Textoindependiente"/>
        <w:spacing w:before="182" w:line="259" w:lineRule="auto"/>
        <w:ind w:left="249" w:right="247"/>
        <w:jc w:val="both"/>
      </w:pPr>
      <w:r>
        <w:t>Analizar la existencia y configuración del giro, otorgamiento y aceptación de facturas como prueba y</w:t>
      </w:r>
      <w:r>
        <w:rPr>
          <w:spacing w:val="1"/>
        </w:rPr>
        <w:t xml:space="preserve"> </w:t>
      </w:r>
      <w:r>
        <w:t>título valor exigible de la obligación de la compra y venta por mayor de productos agroquímicos en el</w:t>
      </w:r>
      <w:r>
        <w:rPr>
          <w:spacing w:val="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comercial floricultor como costumbre</w:t>
      </w:r>
      <w:r>
        <w:rPr>
          <w:spacing w:val="-2"/>
        </w:rPr>
        <w:t xml:space="preserve"> </w:t>
      </w:r>
      <w:r>
        <w:t>mercantil local.</w:t>
      </w:r>
    </w:p>
    <w:p w14:paraId="74B69C96" w14:textId="77777777" w:rsidR="00955872" w:rsidRDefault="00000000">
      <w:pPr>
        <w:pStyle w:val="Ttulo1"/>
        <w:numPr>
          <w:ilvl w:val="1"/>
          <w:numId w:val="4"/>
        </w:numPr>
        <w:tabs>
          <w:tab w:val="left" w:pos="652"/>
        </w:tabs>
        <w:spacing w:before="160"/>
      </w:pPr>
      <w:r>
        <w:t>Objetivos</w:t>
      </w:r>
      <w:r>
        <w:rPr>
          <w:spacing w:val="-6"/>
        </w:rPr>
        <w:t xml:space="preserve"> </w:t>
      </w:r>
      <w:r>
        <w:t>Específicos</w:t>
      </w:r>
    </w:p>
    <w:p w14:paraId="166AA0E0" w14:textId="7525F3F2" w:rsidR="00083692" w:rsidRPr="00083692" w:rsidRDefault="00000000" w:rsidP="00083692">
      <w:pPr>
        <w:pStyle w:val="Prrafodelista"/>
        <w:numPr>
          <w:ilvl w:val="0"/>
          <w:numId w:val="3"/>
        </w:numPr>
        <w:tabs>
          <w:tab w:val="left" w:pos="674"/>
          <w:tab w:val="left" w:pos="675"/>
        </w:tabs>
        <w:spacing w:before="184" w:line="244" w:lineRule="auto"/>
        <w:ind w:right="250"/>
        <w:rPr>
          <w:sz w:val="24"/>
        </w:rPr>
      </w:pPr>
      <w:r>
        <w:rPr>
          <w:sz w:val="24"/>
        </w:rPr>
        <w:t>Enunciar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existencia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costumbre</w:t>
      </w:r>
      <w:r>
        <w:rPr>
          <w:spacing w:val="-7"/>
          <w:sz w:val="24"/>
        </w:rPr>
        <w:t xml:space="preserve"> </w:t>
      </w:r>
      <w:r>
        <w:rPr>
          <w:sz w:val="24"/>
        </w:rPr>
        <w:t>mercantil</w:t>
      </w:r>
      <w:r>
        <w:rPr>
          <w:spacing w:val="-2"/>
          <w:sz w:val="24"/>
        </w:rPr>
        <w:t xml:space="preserve"> </w:t>
      </w:r>
      <w:r>
        <w:rPr>
          <w:sz w:val="24"/>
        </w:rPr>
        <w:t>propuesta</w:t>
      </w:r>
      <w:r>
        <w:rPr>
          <w:spacing w:val="-3"/>
          <w:sz w:val="24"/>
        </w:rPr>
        <w:t xml:space="preserve"> </w:t>
      </w:r>
      <w:r>
        <w:rPr>
          <w:sz w:val="24"/>
        </w:rPr>
        <w:t>a partir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costumbre local.</w:t>
      </w:r>
      <w:bookmarkEnd w:id="0"/>
    </w:p>
    <w:p w14:paraId="13AA7E8E" w14:textId="77777777" w:rsidR="00083692" w:rsidRDefault="00083692" w:rsidP="00083692">
      <w:pPr>
        <w:pStyle w:val="Prrafodelista"/>
        <w:numPr>
          <w:ilvl w:val="0"/>
          <w:numId w:val="3"/>
        </w:numPr>
        <w:tabs>
          <w:tab w:val="left" w:pos="675"/>
        </w:tabs>
        <w:spacing w:before="78" w:line="256" w:lineRule="auto"/>
        <w:ind w:right="250"/>
        <w:jc w:val="both"/>
        <w:rPr>
          <w:sz w:val="24"/>
        </w:rPr>
      </w:pPr>
      <w:bookmarkStart w:id="1" w:name="_Hlk132897726"/>
      <w:r>
        <w:rPr>
          <w:sz w:val="24"/>
        </w:rPr>
        <w:t>Determinar la mercantilidad de la Practica de la costumbre propuesta a partir de la configuración</w:t>
      </w:r>
      <w:r>
        <w:rPr>
          <w:spacing w:val="1"/>
          <w:sz w:val="24"/>
        </w:rPr>
        <w:t xml:space="preserve"> </w:t>
      </w:r>
      <w:r>
        <w:rPr>
          <w:sz w:val="24"/>
        </w:rPr>
        <w:t>del acto de comercio de la adquisición de bienes a título oneroso con destino a enajenarlos así</w:t>
      </w:r>
      <w:r>
        <w:rPr>
          <w:spacing w:val="1"/>
          <w:sz w:val="24"/>
        </w:rPr>
        <w:t xml:space="preserve"> </w:t>
      </w:r>
      <w:r>
        <w:rPr>
          <w:sz w:val="24"/>
        </w:rPr>
        <w:t>como la enajenación de estos y el giro, otorgamiento, aceptación, garantía o negociación de</w:t>
      </w:r>
      <w:r>
        <w:rPr>
          <w:spacing w:val="1"/>
          <w:sz w:val="24"/>
        </w:rPr>
        <w:t xml:space="preserve"> </w:t>
      </w:r>
      <w:r>
        <w:rPr>
          <w:sz w:val="24"/>
        </w:rPr>
        <w:t>títulos-valores como fuente probatoria y documento que soporta la enajenación de productos</w:t>
      </w:r>
      <w:r>
        <w:rPr>
          <w:spacing w:val="1"/>
          <w:sz w:val="24"/>
        </w:rPr>
        <w:t xml:space="preserve"> </w:t>
      </w:r>
      <w:r>
        <w:rPr>
          <w:sz w:val="24"/>
        </w:rPr>
        <w:t>agroquímicos.</w:t>
      </w:r>
    </w:p>
    <w:p w14:paraId="0EC5C483" w14:textId="77777777" w:rsidR="00083692" w:rsidRDefault="00083692" w:rsidP="00083692">
      <w:pPr>
        <w:pStyle w:val="Prrafodelista"/>
        <w:numPr>
          <w:ilvl w:val="0"/>
          <w:numId w:val="3"/>
        </w:numPr>
        <w:tabs>
          <w:tab w:val="left" w:pos="675"/>
        </w:tabs>
        <w:spacing w:line="254" w:lineRule="auto"/>
        <w:ind w:right="253"/>
        <w:jc w:val="both"/>
        <w:rPr>
          <w:sz w:val="24"/>
        </w:rPr>
      </w:pPr>
      <w:r>
        <w:rPr>
          <w:sz w:val="24"/>
        </w:rPr>
        <w:t>Demostrar como atributos de la práctica de la costumbre mercantil propuesta la obligatoriedad,</w:t>
      </w:r>
      <w:r>
        <w:rPr>
          <w:spacing w:val="1"/>
          <w:sz w:val="24"/>
        </w:rPr>
        <w:t xml:space="preserve"> </w:t>
      </w:r>
      <w:r>
        <w:rPr>
          <w:sz w:val="24"/>
        </w:rPr>
        <w:t>vigencia,</w:t>
      </w:r>
      <w:r>
        <w:rPr>
          <w:spacing w:val="1"/>
          <w:sz w:val="24"/>
        </w:rPr>
        <w:t xml:space="preserve"> </w:t>
      </w:r>
      <w:r>
        <w:rPr>
          <w:sz w:val="24"/>
        </w:rPr>
        <w:t>uniformidad,</w:t>
      </w:r>
      <w:r>
        <w:rPr>
          <w:spacing w:val="1"/>
          <w:sz w:val="24"/>
        </w:rPr>
        <w:t xml:space="preserve"> </w:t>
      </w:r>
      <w:r>
        <w:rPr>
          <w:sz w:val="24"/>
        </w:rPr>
        <w:t>legalidad,</w:t>
      </w:r>
      <w:r>
        <w:rPr>
          <w:spacing w:val="1"/>
          <w:sz w:val="24"/>
        </w:rPr>
        <w:t xml:space="preserve"> </w:t>
      </w:r>
      <w:r>
        <w:rPr>
          <w:sz w:val="24"/>
        </w:rPr>
        <w:t>publicidad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reiteración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subjetivos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obligatoriedad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obligatoriedad</w:t>
      </w:r>
      <w:r>
        <w:rPr>
          <w:spacing w:val="1"/>
          <w:sz w:val="24"/>
        </w:rPr>
        <w:t xml:space="preserve"> </w:t>
      </w:r>
      <w:r>
        <w:rPr>
          <w:sz w:val="24"/>
        </w:rPr>
        <w:t>(opinión</w:t>
      </w:r>
      <w:r>
        <w:rPr>
          <w:spacing w:val="1"/>
          <w:sz w:val="24"/>
        </w:rPr>
        <w:t xml:space="preserve"> </w:t>
      </w:r>
      <w:r>
        <w:rPr>
          <w:sz w:val="24"/>
        </w:rPr>
        <w:t>iuris)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fundamentan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costumbre mercantil.</w:t>
      </w:r>
    </w:p>
    <w:p w14:paraId="54108E89" w14:textId="77777777" w:rsidR="00083692" w:rsidRDefault="00083692" w:rsidP="00083692">
      <w:pPr>
        <w:pStyle w:val="Prrafodelista"/>
        <w:numPr>
          <w:ilvl w:val="0"/>
          <w:numId w:val="3"/>
        </w:numPr>
        <w:tabs>
          <w:tab w:val="left" w:pos="675"/>
        </w:tabs>
        <w:spacing w:before="5" w:line="247" w:lineRule="auto"/>
        <w:ind w:right="249"/>
        <w:jc w:val="both"/>
        <w:rPr>
          <w:sz w:val="24"/>
        </w:rPr>
      </w:pPr>
      <w:r>
        <w:rPr>
          <w:sz w:val="24"/>
        </w:rPr>
        <w:t>Explicar la</w:t>
      </w:r>
      <w:r>
        <w:rPr>
          <w:spacing w:val="1"/>
          <w:sz w:val="24"/>
        </w:rPr>
        <w:t xml:space="preserve"> </w:t>
      </w:r>
      <w:r>
        <w:rPr>
          <w:sz w:val="24"/>
        </w:rPr>
        <w:t>legalidad de</w:t>
      </w:r>
      <w:r>
        <w:rPr>
          <w:spacing w:val="1"/>
          <w:sz w:val="24"/>
        </w:rPr>
        <w:t xml:space="preserve"> </w:t>
      </w:r>
      <w:r>
        <w:rPr>
          <w:sz w:val="24"/>
        </w:rPr>
        <w:t>la costumbre mercantil</w:t>
      </w:r>
      <w:r>
        <w:rPr>
          <w:spacing w:val="1"/>
          <w:sz w:val="24"/>
        </w:rPr>
        <w:t xml:space="preserve"> </w:t>
      </w:r>
      <w:r>
        <w:rPr>
          <w:sz w:val="24"/>
        </w:rPr>
        <w:t>propuesta como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vigente, reiterado,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</w:t>
      </w:r>
      <w:r>
        <w:rPr>
          <w:spacing w:val="-1"/>
          <w:sz w:val="24"/>
        </w:rPr>
        <w:t xml:space="preserve"> </w:t>
      </w:r>
      <w:r>
        <w:rPr>
          <w:sz w:val="24"/>
        </w:rPr>
        <w:t>uniforme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 la</w:t>
      </w:r>
      <w:r>
        <w:rPr>
          <w:spacing w:val="-2"/>
          <w:sz w:val="24"/>
        </w:rPr>
        <w:t xml:space="preserve"> </w:t>
      </w:r>
      <w:r>
        <w:rPr>
          <w:sz w:val="24"/>
        </w:rPr>
        <w:t>Ley.</w:t>
      </w:r>
    </w:p>
    <w:p w14:paraId="1A38F969" w14:textId="77777777" w:rsidR="00083692" w:rsidRDefault="00083692" w:rsidP="00083692">
      <w:pPr>
        <w:pStyle w:val="Prrafodelista"/>
        <w:numPr>
          <w:ilvl w:val="0"/>
          <w:numId w:val="3"/>
        </w:numPr>
        <w:tabs>
          <w:tab w:val="left" w:pos="675"/>
        </w:tabs>
        <w:spacing w:before="15" w:line="244" w:lineRule="auto"/>
        <w:ind w:right="254"/>
        <w:jc w:val="both"/>
        <w:rPr>
          <w:sz w:val="24"/>
        </w:rPr>
      </w:pPr>
      <w:r>
        <w:rPr>
          <w:sz w:val="24"/>
        </w:rPr>
        <w:t>Advertir los fundamentos jurídicos, legales y jurisprudenciales que sustentan la existencia de la</w:t>
      </w:r>
      <w:r>
        <w:rPr>
          <w:spacing w:val="1"/>
          <w:sz w:val="24"/>
        </w:rPr>
        <w:t xml:space="preserve"> </w:t>
      </w:r>
      <w:r>
        <w:rPr>
          <w:sz w:val="24"/>
        </w:rPr>
        <w:t>costumbre</w:t>
      </w:r>
      <w:r>
        <w:rPr>
          <w:spacing w:val="-3"/>
          <w:sz w:val="24"/>
        </w:rPr>
        <w:t xml:space="preserve"> </w:t>
      </w:r>
      <w:r>
        <w:rPr>
          <w:sz w:val="24"/>
        </w:rPr>
        <w:t>mercantil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Comercio.</w:t>
      </w:r>
    </w:p>
    <w:p w14:paraId="16C4EA3E" w14:textId="77777777" w:rsidR="00083692" w:rsidRDefault="00083692" w:rsidP="00083692">
      <w:pPr>
        <w:pStyle w:val="Ttulo1"/>
        <w:numPr>
          <w:ilvl w:val="1"/>
          <w:numId w:val="4"/>
        </w:numPr>
        <w:tabs>
          <w:tab w:val="left" w:pos="652"/>
        </w:tabs>
        <w:spacing w:before="176"/>
      </w:pPr>
      <w:r>
        <w:t>Pregunta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</w:p>
    <w:p w14:paraId="1B5B0FBD" w14:textId="77777777" w:rsidR="00083692" w:rsidRDefault="00083692" w:rsidP="00083692">
      <w:pPr>
        <w:pStyle w:val="Textoindependiente"/>
        <w:spacing w:before="183" w:line="259" w:lineRule="auto"/>
        <w:ind w:left="249" w:right="111"/>
        <w:jc w:val="both"/>
      </w:pPr>
      <w:r>
        <w:t>¿Existe en el sector floricultor de la sabana de Bogotá como una costumbre mercantil del giro,</w:t>
      </w:r>
      <w:r>
        <w:rPr>
          <w:spacing w:val="1"/>
        </w:rPr>
        <w:t xml:space="preserve"> </w:t>
      </w:r>
      <w:r>
        <w:t>otorgamiento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aceptación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facturas</w:t>
      </w:r>
      <w:r>
        <w:rPr>
          <w:spacing w:val="-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exigible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compra</w:t>
      </w:r>
      <w:r>
        <w:rPr>
          <w:spacing w:val="-6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venta por</w:t>
      </w:r>
      <w:r>
        <w:rPr>
          <w:spacing w:val="-1"/>
        </w:rPr>
        <w:t xml:space="preserve"> </w:t>
      </w:r>
      <w:r>
        <w:t>mayor de</w:t>
      </w:r>
      <w:r>
        <w:rPr>
          <w:spacing w:val="-1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agroquímicos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financiamiento 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 facturas?</w:t>
      </w:r>
    </w:p>
    <w:p w14:paraId="0F777684" w14:textId="77777777" w:rsidR="00083692" w:rsidRDefault="00083692" w:rsidP="00083692">
      <w:pPr>
        <w:pStyle w:val="Ttulo1"/>
        <w:numPr>
          <w:ilvl w:val="1"/>
          <w:numId w:val="4"/>
        </w:numPr>
        <w:tabs>
          <w:tab w:val="left" w:pos="652"/>
        </w:tabs>
        <w:spacing w:before="159"/>
      </w:pPr>
      <w:r>
        <w:lastRenderedPageBreak/>
        <w:t>Metodología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</w:p>
    <w:p w14:paraId="750A69E9" w14:textId="77777777" w:rsidR="00083692" w:rsidRDefault="00083692" w:rsidP="00083692">
      <w:pPr>
        <w:pStyle w:val="Textoindependiente"/>
        <w:spacing w:before="181" w:line="259" w:lineRule="auto"/>
        <w:ind w:left="249" w:right="390"/>
        <w:jc w:val="both"/>
      </w:pPr>
      <w:r>
        <w:t>Para la determinación de esta costumbre mercantil se llevó a cabo un análisis jurídico con el fin de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metodológicas-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[doctrina,</w:t>
      </w:r>
      <w:r>
        <w:rPr>
          <w:spacing w:val="1"/>
        </w:rPr>
        <w:t xml:space="preserve"> </w:t>
      </w:r>
      <w:r>
        <w:t>jurisprudencia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normas]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 de la costumbre mercantil relativa al giro, otorgamiento y aceptación de facturas como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valor exigible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t>y venta por mayor de productos</w:t>
      </w:r>
      <w:r>
        <w:rPr>
          <w:spacing w:val="1"/>
        </w:rPr>
        <w:t xml:space="preserve"> </w:t>
      </w:r>
      <w:r>
        <w:t>agroquímicos</w:t>
      </w:r>
      <w:r>
        <w:rPr>
          <w:spacing w:val="-1"/>
        </w:rPr>
        <w:t xml:space="preserve"> </w:t>
      </w:r>
      <w:r>
        <w:t>en el sector comercial floricultor.</w:t>
      </w:r>
    </w:p>
    <w:p w14:paraId="2B8E062F" w14:textId="77777777" w:rsidR="00083692" w:rsidRDefault="00083692" w:rsidP="00083692">
      <w:pPr>
        <w:pStyle w:val="Textoindependiente"/>
        <w:spacing w:before="161" w:line="259" w:lineRule="auto"/>
        <w:ind w:left="249" w:right="393"/>
        <w:jc w:val="both"/>
      </w:pPr>
      <w:r>
        <w:t>Esto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mercantilidad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práctica,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atributos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práctica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cuanto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sus</w:t>
      </w:r>
      <w:r>
        <w:rPr>
          <w:spacing w:val="-65"/>
        </w:rPr>
        <w:t xml:space="preserve"> </w:t>
      </w:r>
      <w:r>
        <w:t>requisitos objetivos y subjetivos en consideración a lo estipulado en el Código de Comercio Decreto</w:t>
      </w:r>
      <w:r>
        <w:rPr>
          <w:spacing w:val="-64"/>
        </w:rPr>
        <w:t xml:space="preserve"> </w:t>
      </w:r>
      <w:r>
        <w:t>de 410 de1971 y el Código General del Proceso Ley 1584 de 2012 como objetos abstractos no</w:t>
      </w:r>
      <w:r>
        <w:rPr>
          <w:spacing w:val="1"/>
        </w:rPr>
        <w:t xml:space="preserve"> </w:t>
      </w:r>
      <w:r>
        <w:t>percibidos sensorialmente y cuya fuente de recolección se da en escenarios reconocidos por Ley y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regulativo mercantil nacional.</w:t>
      </w:r>
    </w:p>
    <w:bookmarkEnd w:id="1"/>
    <w:p w14:paraId="15D6087B" w14:textId="1375FE6A" w:rsidR="00955872" w:rsidRDefault="00000000" w:rsidP="00083692">
      <w:pPr>
        <w:tabs>
          <w:tab w:val="left" w:pos="5467"/>
        </w:tabs>
        <w:rPr>
          <w:sz w:val="20"/>
        </w:rPr>
      </w:pPr>
      <w:r>
        <w:rPr>
          <w:sz w:val="20"/>
        </w:rPr>
        <w:tab/>
      </w:r>
    </w:p>
    <w:sectPr w:rsidR="00955872">
      <w:pgSz w:w="12240" w:h="15840"/>
      <w:pgMar w:top="150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877"/>
    <w:multiLevelType w:val="hybridMultilevel"/>
    <w:tmpl w:val="281864B4"/>
    <w:lvl w:ilvl="0" w:tplc="ADBEED48">
      <w:start w:val="1"/>
      <w:numFmt w:val="decimal"/>
      <w:lvlText w:val="%1."/>
      <w:lvlJc w:val="left"/>
      <w:pPr>
        <w:ind w:left="610" w:hanging="35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E98F5F6">
      <w:numFmt w:val="bullet"/>
      <w:lvlText w:val="•"/>
      <w:lvlJc w:val="left"/>
      <w:pPr>
        <w:ind w:left="620" w:hanging="359"/>
      </w:pPr>
      <w:rPr>
        <w:rFonts w:hint="default"/>
        <w:lang w:val="es-ES" w:eastAsia="en-US" w:bidi="ar-SA"/>
      </w:rPr>
    </w:lvl>
    <w:lvl w:ilvl="2" w:tplc="9E3AA154">
      <w:numFmt w:val="bullet"/>
      <w:lvlText w:val="•"/>
      <w:lvlJc w:val="left"/>
      <w:pPr>
        <w:ind w:left="1804" w:hanging="359"/>
      </w:pPr>
      <w:rPr>
        <w:rFonts w:hint="default"/>
        <w:lang w:val="es-ES" w:eastAsia="en-US" w:bidi="ar-SA"/>
      </w:rPr>
    </w:lvl>
    <w:lvl w:ilvl="3" w:tplc="8C589D60">
      <w:numFmt w:val="bullet"/>
      <w:lvlText w:val="•"/>
      <w:lvlJc w:val="left"/>
      <w:pPr>
        <w:ind w:left="2988" w:hanging="359"/>
      </w:pPr>
      <w:rPr>
        <w:rFonts w:hint="default"/>
        <w:lang w:val="es-ES" w:eastAsia="en-US" w:bidi="ar-SA"/>
      </w:rPr>
    </w:lvl>
    <w:lvl w:ilvl="4" w:tplc="EB746A84">
      <w:numFmt w:val="bullet"/>
      <w:lvlText w:val="•"/>
      <w:lvlJc w:val="left"/>
      <w:pPr>
        <w:ind w:left="4173" w:hanging="359"/>
      </w:pPr>
      <w:rPr>
        <w:rFonts w:hint="default"/>
        <w:lang w:val="es-ES" w:eastAsia="en-US" w:bidi="ar-SA"/>
      </w:rPr>
    </w:lvl>
    <w:lvl w:ilvl="5" w:tplc="C5C471CA">
      <w:numFmt w:val="bullet"/>
      <w:lvlText w:val="•"/>
      <w:lvlJc w:val="left"/>
      <w:pPr>
        <w:ind w:left="5357" w:hanging="359"/>
      </w:pPr>
      <w:rPr>
        <w:rFonts w:hint="default"/>
        <w:lang w:val="es-ES" w:eastAsia="en-US" w:bidi="ar-SA"/>
      </w:rPr>
    </w:lvl>
    <w:lvl w:ilvl="6" w:tplc="F0B29EE8">
      <w:numFmt w:val="bullet"/>
      <w:lvlText w:val="•"/>
      <w:lvlJc w:val="left"/>
      <w:pPr>
        <w:ind w:left="6542" w:hanging="359"/>
      </w:pPr>
      <w:rPr>
        <w:rFonts w:hint="default"/>
        <w:lang w:val="es-ES" w:eastAsia="en-US" w:bidi="ar-SA"/>
      </w:rPr>
    </w:lvl>
    <w:lvl w:ilvl="7" w:tplc="92EAC01E">
      <w:numFmt w:val="bullet"/>
      <w:lvlText w:val="•"/>
      <w:lvlJc w:val="left"/>
      <w:pPr>
        <w:ind w:left="7726" w:hanging="359"/>
      </w:pPr>
      <w:rPr>
        <w:rFonts w:hint="default"/>
        <w:lang w:val="es-ES" w:eastAsia="en-US" w:bidi="ar-SA"/>
      </w:rPr>
    </w:lvl>
    <w:lvl w:ilvl="8" w:tplc="DEB430FA">
      <w:numFmt w:val="bullet"/>
      <w:lvlText w:val="•"/>
      <w:lvlJc w:val="left"/>
      <w:pPr>
        <w:ind w:left="8911" w:hanging="359"/>
      </w:pPr>
      <w:rPr>
        <w:rFonts w:hint="default"/>
        <w:lang w:val="es-ES" w:eastAsia="en-US" w:bidi="ar-SA"/>
      </w:rPr>
    </w:lvl>
  </w:abstractNum>
  <w:abstractNum w:abstractNumId="1" w15:restartNumberingAfterBreak="0">
    <w:nsid w:val="17901834"/>
    <w:multiLevelType w:val="multilevel"/>
    <w:tmpl w:val="917850B4"/>
    <w:lvl w:ilvl="0">
      <w:start w:val="1"/>
      <w:numFmt w:val="decimal"/>
      <w:lvlText w:val="%1."/>
      <w:lvlJc w:val="left"/>
      <w:pPr>
        <w:ind w:left="610" w:hanging="35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1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50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1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8277FB6"/>
    <w:multiLevelType w:val="hybridMultilevel"/>
    <w:tmpl w:val="5FC8F2A0"/>
    <w:lvl w:ilvl="0" w:tplc="80E43668">
      <w:start w:val="1"/>
      <w:numFmt w:val="decimal"/>
      <w:lvlText w:val="%1."/>
      <w:lvlJc w:val="left"/>
      <w:pPr>
        <w:ind w:left="610" w:hanging="35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43AAFC4">
      <w:numFmt w:val="bullet"/>
      <w:lvlText w:val="•"/>
      <w:lvlJc w:val="left"/>
      <w:pPr>
        <w:ind w:left="1686" w:hanging="359"/>
      </w:pPr>
      <w:rPr>
        <w:rFonts w:hint="default"/>
        <w:lang w:val="es-ES" w:eastAsia="en-US" w:bidi="ar-SA"/>
      </w:rPr>
    </w:lvl>
    <w:lvl w:ilvl="2" w:tplc="6756D476">
      <w:numFmt w:val="bullet"/>
      <w:lvlText w:val="•"/>
      <w:lvlJc w:val="left"/>
      <w:pPr>
        <w:ind w:left="2752" w:hanging="359"/>
      </w:pPr>
      <w:rPr>
        <w:rFonts w:hint="default"/>
        <w:lang w:val="es-ES" w:eastAsia="en-US" w:bidi="ar-SA"/>
      </w:rPr>
    </w:lvl>
    <w:lvl w:ilvl="3" w:tplc="50F098BC">
      <w:numFmt w:val="bullet"/>
      <w:lvlText w:val="•"/>
      <w:lvlJc w:val="left"/>
      <w:pPr>
        <w:ind w:left="3818" w:hanging="359"/>
      </w:pPr>
      <w:rPr>
        <w:rFonts w:hint="default"/>
        <w:lang w:val="es-ES" w:eastAsia="en-US" w:bidi="ar-SA"/>
      </w:rPr>
    </w:lvl>
    <w:lvl w:ilvl="4" w:tplc="CB1C99B8">
      <w:numFmt w:val="bullet"/>
      <w:lvlText w:val="•"/>
      <w:lvlJc w:val="left"/>
      <w:pPr>
        <w:ind w:left="4884" w:hanging="359"/>
      </w:pPr>
      <w:rPr>
        <w:rFonts w:hint="default"/>
        <w:lang w:val="es-ES" w:eastAsia="en-US" w:bidi="ar-SA"/>
      </w:rPr>
    </w:lvl>
    <w:lvl w:ilvl="5" w:tplc="9DCE9672">
      <w:numFmt w:val="bullet"/>
      <w:lvlText w:val="•"/>
      <w:lvlJc w:val="left"/>
      <w:pPr>
        <w:ind w:left="5950" w:hanging="359"/>
      </w:pPr>
      <w:rPr>
        <w:rFonts w:hint="default"/>
        <w:lang w:val="es-ES" w:eastAsia="en-US" w:bidi="ar-SA"/>
      </w:rPr>
    </w:lvl>
    <w:lvl w:ilvl="6" w:tplc="0262A7D2">
      <w:numFmt w:val="bullet"/>
      <w:lvlText w:val="•"/>
      <w:lvlJc w:val="left"/>
      <w:pPr>
        <w:ind w:left="7016" w:hanging="359"/>
      </w:pPr>
      <w:rPr>
        <w:rFonts w:hint="default"/>
        <w:lang w:val="es-ES" w:eastAsia="en-US" w:bidi="ar-SA"/>
      </w:rPr>
    </w:lvl>
    <w:lvl w:ilvl="7" w:tplc="95A2E6B6">
      <w:numFmt w:val="bullet"/>
      <w:lvlText w:val="•"/>
      <w:lvlJc w:val="left"/>
      <w:pPr>
        <w:ind w:left="8082" w:hanging="359"/>
      </w:pPr>
      <w:rPr>
        <w:rFonts w:hint="default"/>
        <w:lang w:val="es-ES" w:eastAsia="en-US" w:bidi="ar-SA"/>
      </w:rPr>
    </w:lvl>
    <w:lvl w:ilvl="8" w:tplc="7CFA2912">
      <w:numFmt w:val="bullet"/>
      <w:lvlText w:val="•"/>
      <w:lvlJc w:val="left"/>
      <w:pPr>
        <w:ind w:left="9148" w:hanging="359"/>
      </w:pPr>
      <w:rPr>
        <w:rFonts w:hint="default"/>
        <w:lang w:val="es-ES" w:eastAsia="en-US" w:bidi="ar-SA"/>
      </w:rPr>
    </w:lvl>
  </w:abstractNum>
  <w:abstractNum w:abstractNumId="3" w15:restartNumberingAfterBreak="0">
    <w:nsid w:val="48344775"/>
    <w:multiLevelType w:val="multilevel"/>
    <w:tmpl w:val="1ECCC788"/>
    <w:lvl w:ilvl="0">
      <w:start w:val="4"/>
      <w:numFmt w:val="decimal"/>
      <w:lvlText w:val="%1."/>
      <w:lvlJc w:val="left"/>
      <w:pPr>
        <w:ind w:left="610" w:hanging="35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1" w:hanging="403"/>
        <w:jc w:val="right"/>
      </w:pPr>
      <w:rPr>
        <w:rFonts w:hint="default"/>
        <w:b/>
        <w:bCs/>
        <w:w w:val="99"/>
        <w:lang w:val="es-ES" w:eastAsia="en-US" w:bidi="ar-SA"/>
      </w:rPr>
    </w:lvl>
    <w:lvl w:ilvl="2">
      <w:numFmt w:val="bullet"/>
      <w:lvlText w:val="•"/>
      <w:lvlJc w:val="left"/>
      <w:pPr>
        <w:ind w:left="1840" w:hanging="4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20" w:hanging="4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0" w:hanging="4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0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0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40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0" w:hanging="403"/>
      </w:pPr>
      <w:rPr>
        <w:rFonts w:hint="default"/>
        <w:lang w:val="es-ES" w:eastAsia="en-US" w:bidi="ar-SA"/>
      </w:rPr>
    </w:lvl>
  </w:abstractNum>
  <w:abstractNum w:abstractNumId="4" w15:restartNumberingAfterBreak="0">
    <w:nsid w:val="4CEC44E2"/>
    <w:multiLevelType w:val="hybridMultilevel"/>
    <w:tmpl w:val="C04CB5D2"/>
    <w:lvl w:ilvl="0" w:tplc="E60E4D16">
      <w:numFmt w:val="bullet"/>
      <w:lvlText w:val="●"/>
      <w:lvlJc w:val="left"/>
      <w:pPr>
        <w:ind w:left="674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76A0B5A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E5C439AA">
      <w:numFmt w:val="bullet"/>
      <w:lvlText w:val="•"/>
      <w:lvlJc w:val="left"/>
      <w:pPr>
        <w:ind w:left="2800" w:hanging="361"/>
      </w:pPr>
      <w:rPr>
        <w:rFonts w:hint="default"/>
        <w:lang w:val="es-ES" w:eastAsia="en-US" w:bidi="ar-SA"/>
      </w:rPr>
    </w:lvl>
    <w:lvl w:ilvl="3" w:tplc="9A52BDC0">
      <w:numFmt w:val="bullet"/>
      <w:lvlText w:val="•"/>
      <w:lvlJc w:val="left"/>
      <w:pPr>
        <w:ind w:left="3860" w:hanging="361"/>
      </w:pPr>
      <w:rPr>
        <w:rFonts w:hint="default"/>
        <w:lang w:val="es-ES" w:eastAsia="en-US" w:bidi="ar-SA"/>
      </w:rPr>
    </w:lvl>
    <w:lvl w:ilvl="4" w:tplc="11D0D192">
      <w:numFmt w:val="bullet"/>
      <w:lvlText w:val="•"/>
      <w:lvlJc w:val="left"/>
      <w:pPr>
        <w:ind w:left="4920" w:hanging="361"/>
      </w:pPr>
      <w:rPr>
        <w:rFonts w:hint="default"/>
        <w:lang w:val="es-ES" w:eastAsia="en-US" w:bidi="ar-SA"/>
      </w:rPr>
    </w:lvl>
    <w:lvl w:ilvl="5" w:tplc="494412DA">
      <w:numFmt w:val="bullet"/>
      <w:lvlText w:val="•"/>
      <w:lvlJc w:val="left"/>
      <w:pPr>
        <w:ind w:left="5980" w:hanging="361"/>
      </w:pPr>
      <w:rPr>
        <w:rFonts w:hint="default"/>
        <w:lang w:val="es-ES" w:eastAsia="en-US" w:bidi="ar-SA"/>
      </w:rPr>
    </w:lvl>
    <w:lvl w:ilvl="6" w:tplc="751C0F0E">
      <w:numFmt w:val="bullet"/>
      <w:lvlText w:val="•"/>
      <w:lvlJc w:val="left"/>
      <w:pPr>
        <w:ind w:left="7040" w:hanging="361"/>
      </w:pPr>
      <w:rPr>
        <w:rFonts w:hint="default"/>
        <w:lang w:val="es-ES" w:eastAsia="en-US" w:bidi="ar-SA"/>
      </w:rPr>
    </w:lvl>
    <w:lvl w:ilvl="7" w:tplc="F506B168">
      <w:numFmt w:val="bullet"/>
      <w:lvlText w:val="•"/>
      <w:lvlJc w:val="left"/>
      <w:pPr>
        <w:ind w:left="8100" w:hanging="361"/>
      </w:pPr>
      <w:rPr>
        <w:rFonts w:hint="default"/>
        <w:lang w:val="es-ES" w:eastAsia="en-US" w:bidi="ar-SA"/>
      </w:rPr>
    </w:lvl>
    <w:lvl w:ilvl="8" w:tplc="50D2ED18">
      <w:numFmt w:val="bullet"/>
      <w:lvlText w:val="•"/>
      <w:lvlJc w:val="left"/>
      <w:pPr>
        <w:ind w:left="9160" w:hanging="361"/>
      </w:pPr>
      <w:rPr>
        <w:rFonts w:hint="default"/>
        <w:lang w:val="es-ES" w:eastAsia="en-US" w:bidi="ar-SA"/>
      </w:rPr>
    </w:lvl>
  </w:abstractNum>
  <w:num w:numId="1" w16cid:durableId="556010736">
    <w:abstractNumId w:val="3"/>
  </w:num>
  <w:num w:numId="2" w16cid:durableId="70272192">
    <w:abstractNumId w:val="2"/>
  </w:num>
  <w:num w:numId="3" w16cid:durableId="1098066887">
    <w:abstractNumId w:val="4"/>
  </w:num>
  <w:num w:numId="4" w16cid:durableId="1289361332">
    <w:abstractNumId w:val="1"/>
  </w:num>
  <w:num w:numId="5" w16cid:durableId="181209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72"/>
    <w:rsid w:val="00083692"/>
    <w:rsid w:val="0026394A"/>
    <w:rsid w:val="009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8A4C"/>
  <w15:docId w15:val="{52BE5BEC-79B1-4900-9707-F4DEF60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651" w:hanging="4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1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entes@ugc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MARIA</dc:creator>
  <cp:lastModifiedBy>CIDAC</cp:lastModifiedBy>
  <cp:revision>2</cp:revision>
  <dcterms:created xsi:type="dcterms:W3CDTF">2023-04-20T21:06:00Z</dcterms:created>
  <dcterms:modified xsi:type="dcterms:W3CDTF">2023-04-20T21:06:00Z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2023-04-20T00:00:00Z</vt:filetime>
  </property>
</Properties>
</file>